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VB.2014.00534 vom 16. September 2015</w:t>
      </w:r>
    </w:p>
    <w:p>
      <w:r>
        <w:t>ZH Verwaltungsgericht, 2015-09-16, DE</w:t>
      </w:r>
    </w:p>
    <w:p>
      <w:r>
        <w:rPr>
          <w:b/>
        </w:rPr>
        <w:t xml:space="preserve">Quelle: </w:t>
      </w:r>
      <w:r>
        <w:t>https://mcp.opencaselaw.ch/entscheid/zh_verwaltungsgericht__VB.2014.00534</w:t>
      </w:r>
    </w:p>
    <w:p>
      <w:r>
        <w:t>FR: ZH_VERWALTUNGSGERICHT VB.2014.00534 du 16 septembre 2015</w:t>
      </w:r>
    </w:p>
    <w:p>
      <w:r>
        <w:t>IT: ZH_VERWALTUNGSGERICHT VB.2014.00534 del 16 settembre 2015</w:t>
      </w:r>
    </w:p>
    <w:p>
      <w:pPr>
        <w:pStyle w:val="Heading2"/>
      </w:pPr>
      <w:r>
        <w:t>Regeste</w:t>
      </w:r>
    </w:p>
    <w:p>
      <w:r>
        <w:t>Arbeitszeugnis | Arbeitszeugnisse müssen klar und eindeutig sowie wohlwollend formuliert sein und der Wahrheit entsprechen (E. 2.2). Der beanstanden Formulierung lässt sich nicht entnehmen, was der Beschwerdeführerin konkret vorgeworfen wird; sie verstösst deshalb gegen den Grundsatz der Klarheit (E. 3.2). Die an die Beschwerdeführerin gerichteten Vorwürfe sind nicht von solcher Bedeutung, dass sie im Arbeitszeugnis zu erwähnen wären. Der angefochtene Zeugnispassus erwiese sich deshalb auch mit einer den Grundsatz der Klarheit wahrenden Formulierung als unzulässig (E. 3.3). Gutheissung.</w:t>
      </w:r>
    </w:p>
    <w:p>
      <w:pPr>
        <w:pStyle w:val="Heading2"/>
      </w:pPr>
      <w:r>
        <w:t>Erwägungen</w:t>
      </w:r>
    </w:p>
    <w:p>
      <w:r>
        <w:rPr>
          <w:b/>
        </w:rPr>
        <w:t>E. 4</w:t>
      </w:r>
    </w:p>
    <w:p>
      <w:r>
        <w:t>Da es sich um eine personalrechtliche Streitigkeit mit einem Streitwert nicht über Fr. 30'000.- handelt, sind für das vorliegende Verfahren keine Kosten zu erheben (§ 65a Abs. 3 VRG). Der obsiegenden Beschwerdeführerin ist antragsgemäss für das Rekurs- wie auch für das Beschwerdeverfahren eine Parteientschädigung zuzusprechen (§ 17 Abs. 2 VRG).</w:t>
      </w:r>
    </w:p>
    <w:p>
      <w:r>
        <w:rPr>
          <w:b/>
        </w:rPr>
        <w:t>E. 5</w:t>
      </w:r>
    </w:p>
    <w:p>
      <w:r>
        <w:t>Der Streitwert beträgt weniger als Fr. 15'000.-. Entsprechend wäre die Beschwerde in öffentlichrechtlichen Angelegenheiten an das Bundesgericht nur zulässig, wenn sich eine Rechtsfrage von grundsätzlicher Bedeut u ng stellen würde (Art. 85 Abs. 1 lit. b in Verbindung mit Abs. 2 des Bundesgerichtsgesetzes vom 17. Juni 2005 [BGG, SR 173.110]; vgl. auch Beat Rudin, Basler Kommentar, 2011, Art. 85 N. 21). Ansonsten steht die subsidiäre Verfassungsbeschwerde nach Art. 113 ff. BGG offen. Sollten beide Rechtsmittel ergriffen werden, so müsste dies in derselben Rechtsschrift erfolgen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