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VB.2014.00509 vom 19. November 2014</w:t>
      </w:r>
    </w:p>
    <w:p>
      <w:r>
        <w:t>ZH Verwaltungsgericht, 2014-11-19, DE</w:t>
      </w:r>
    </w:p>
    <w:p>
      <w:r>
        <w:rPr>
          <w:b/>
        </w:rPr>
        <w:t xml:space="preserve">Quelle: </w:t>
      </w:r>
      <w:r>
        <w:t>https://mcp.opencaselaw.ch/entscheid/zh_verwaltungsgericht__VB.2014.00509</w:t>
      </w:r>
    </w:p>
    <w:p>
      <w:r>
        <w:t>FR: ZH_VERWALTUNGSGERICHT VB.2014.00509 du 19 novembre 2014</w:t>
      </w:r>
    </w:p>
    <w:p>
      <w:r>
        <w:t>IT: ZH_VERWALTUNGSGERICHT VB.2014.00509 del 19 novembre 2014</w:t>
      </w:r>
    </w:p>
    <w:p>
      <w:pPr>
        <w:pStyle w:val="Heading2"/>
      </w:pPr>
      <w:r>
        <w:t>Regeste</w:t>
      </w:r>
    </w:p>
    <w:p>
      <w:r>
        <w:t>Familiennachzug | [Familiennachzug] Zur Berechnung der Nachzugsfrist nach Art. 47 AuG ist grundsätzlich auf ein Familien- bzw. Kindsverhältnis im Rechtssinn abzustellen. Ein davon abweichender, früherer Beginn des Fristenlaufs könnte allenfalls etwa angenommen werden, wenn (zunächst) zur Umgehung der Nachzugsfristen und damit missbräuchlich auf die Begründung des Kindsverhältnisses verzichtet würde (E. 2.3). Vorliegend ergibt sich aus einer Gesamtbetrachtung, dass der Familiennachzug zumindest aus wichtigen familiären Gründen im Sinn von Art. 47 Abs. 4 AuG zu bewilligen ist (E. 3). Kriterien zur Festlegung einer angemessenen Parteientschädigung gemäss § 17 Abs. 2 Ingress VRG (E. 5.2).</w:t>
      </w:r>
    </w:p>
    <w:p>
      <w:pPr>
        <w:pStyle w:val="Heading2"/>
      </w:pPr>
      <w:r>
        <w:t>Erwägungen</w:t>
      </w:r>
    </w:p>
    <w:p>
      <w:r>
        <w:rPr>
          <w:b/>
        </w:rPr>
        <w:t>E. 4</w:t>
      </w:r>
    </w:p>
    <w:p>
      <w:r>
        <w:t>Nach dem Gesagten ist die Beschwerde gutzuheissen.</w:t>
      </w:r>
    </w:p>
    <w:p>
      <w:r>
        <w:rPr>
          <w:b/>
        </w:rPr>
        <w:t>E. 5.1</w:t>
      </w:r>
    </w:p>
    <w:p>
      <w:r>
        <w:t>Der Beschwerdeführer erscheint sowohl im vorinstanzlichen Verfahren als auch vor Verwaltungsgericht obsiegend, weshalb die Kosten des Rekurs- und des Beschwerde ­ verfahrens ausgangsgemäss dem Beschwerdegegner aufzuerlegen sind (§ 13 Abs. 2 Satz 1, teilweise in Verbindung mit § 65a Abs. 2 VRG; Kaspar Plüss, Kommentar VRG, § 13 N. 66). Desgleichen hat der Beschwerdegegner für das Rekurs- und das Beschwerde ­ verfahren eine angemessene Parteientschädigung zu bezahlen (§ 17 Abs. 2 lit. a VRG).</w:t>
      </w:r>
    </w:p>
    <w:p>
      <w:r>
        <w:rPr>
          <w:b/>
        </w:rPr>
        <w:t>E. 5.2</w:t>
      </w:r>
    </w:p>
    <w:p>
      <w:r>
        <w:t>Die im Sinn des § 17 Abs. 2 Ingress VRG angemessene Parteientschädigung vergütet höchstens die notwendigen Rechtsverfolgungskosten, deckt diese also meistens nur teilweise. Bei der Festsetzung nach freiem, jedoch pflichtschuldigem Ermessen gilt es auf die Bedeutung der Angelegenheit, die Schwierigkeit des Prozesses, den Zeitaufwand sowie die Barauslagen zu achten. Stets müssen die besonderen Verhältnisse des Einzelfalls berücksichtigt werden: namentlich Streitwert, Ausdehnung des Verfahrens und Zahl, Umfang sowie Inhalt der erforderlichen Rechtsschriften; aber etwa auch, ob lediglich Rechtsfragen zu beantworten sind oder zusätzlich der Sachverhalt kontrovers ist und ob sich auf einer Weiterzugsstufe die gleichen Fragen stellen wie bei der Vorinstanz. Die präsentierte Honorarnote eines Vertreters bedarf dabei hinreichender Würdigung (zum Ganzen VGr, 11. Juni 2014, VB.2014.00044, E. 3.1 Abs. 2, und 20. Januar 2012, VB.2011.00742, E. 2.1 Abs. 3 mit Hinweisen; Plüss, § 17 N. 63 f., 67 ff., 74–76 sowie 82). Sodann hat die Entscheidinstanz dem Gleichbehandlungsgebot nach Art. 8 Abs. 1 BV nachzuleben und in ähnlich gelagerte n Fälle n ähnlich hohe Entschädigungen zuzusprechen (vgl. Plüss, § 17 N. 63) .</w:t>
      </w:r>
    </w:p>
    <w:p>
      <w:r>
        <w:rPr>
          <w:b/>
        </w:rPr>
        <w:t>E. 5.3</w:t>
      </w:r>
    </w:p>
    <w:p>
      <w:r>
        <w:t>Der Beschwerdeführer beantragt die Zusprechung einer Parteientschädigung für das Rekurs- und das Beschwerdeverfahren in der Höhe von Fr. 7'438.- (inkl usive 8 % M ehrwertsteuern ). Er macht geltend, der anwaltliche Zeitaufwand für das Verfassen der Rekursschrift habe insgesamt 17,8 Stunden betragen, wovon 2,6 Stunden auf Klientenbe ­ sprechung und 1,25 Stunden auf das Beschaffen der beigebrachten Zeugnisse für M und N und einer Erklärung ihres Onkels mütterlicherseits entfielen. Für das Verfassen bzw. die "Redaktion" der Beschwerdeschrift sei ein Zeitaufwand von 9.75 Stunden erforderlich gewesen. Die geltend gemachten Aufwände erscheinen zunächst aus verschiedenen Gründen zu hoch: Der Anwalt des Beschwerdeführers vertrat diesen bereits im erstinstanzlichen Verfahren und musste sich folglich mit den tatsäch ­ lichen Voraussetzungen und den rechtlichen Grundlagen der Streitsache entschädigungslos vertraut machen. Sodann waren im vorinstanzlichen Verfahren nur zwei Rechtsschriften (davon eine nur zwei Seiten umfassende) und im Beschwerdeverfahren nur die Beschwerde ­ schrift zu verfassen, wobei der Inhalt Letzterer teilweise direkt der Rekurs ­ schrift entnommen wurde. Die Streitsache weist weiter in rechtlicher Hinsicht keine besonderen Schwierigkeiten auf, und zu den hier interessierenden und erörterten Unklarheiten in tatsächlicher Hinsicht lässt sich den Eingaben des Beschwerdeführers nichts entnehmen. Barauslagen werden weder geltend gemacht noch ausgewiesen. Für eine grosszügige Bemessung der Parteientschädigung spricht somit ausschliesslich, dass die Angelegenheit für den Beschwerdeführer von grosser Bedeutung war. Schliesslich gilt es entscheidend zu berücksichtigen, dass der obsiegende n Partei in Streitigkeiten betreffend Gesuche um Familiennachzug für das Rekurs- und Beschwerdeverfahren regelmässig eine Parteientschädigung von Fr. 1'500.- bis knapp 3'000.- zugesprochen wird (vgl. etwa VGr, 6. November 2013, VB.2013.00647, Dispositiv-Ziff. 4 [nicht im Internet veröffentlicht] – 22. Mai 2013, VB.2012.00600, E. 2.5 und 3 – 21. September 2011, VB.2011.00416, Dispositiv-Ziff. 4).</w:t>
      </w:r>
    </w:p>
    <w:p>
      <w:r>
        <w:rPr>
          <w:b/>
        </w:rPr>
        <w:t>E. 5.4</w:t>
      </w:r>
    </w:p>
    <w:p>
      <w:r>
        <w:t>Dies alles vorausgeschickt, ist die Parteientschädigung für das Rekurs- und Beschwerdeverfahren im Rahmen der gelebten Praxis auf Fr. 2'000.- zuzüglich 8 % Mehrwertsteuern festzusetzen.</w:t>
      </w:r>
    </w:p>
    <w:p>
      <w:r>
        <w:rPr>
          <w:b/>
        </w:rPr>
        <w:t>E. 6</w:t>
      </w:r>
    </w:p>
    <w:p>
      <w:r>
        <w:t>Zur Rechtsmittelbelehrung des nachstehenden Dispositivs ist Folgendes zu erläutern: Soweit ein Bewilligungsanspruch geltend gemacht werden will, ist Beschwerde in öffentlichrechtlichen Angelegenheiten nach Art. 82 ff. des Bundesgerichtsgesetzes vom 17. Juni 2005 (BGG, SR 173.110) zu erheben (vgl. Art. 83 lit. c Ziff. 2 BGG e contrario; BGE 139 I 330 E. 1.1; Daniela Thurnherr in: Caroni/Gächter/Thurnherr [Hrsg.] , Art. 112 N. 39 ff.; Thomas Häberli, Basler Kommentar, 2011, Art. 83 BGG N. 64 ff.). Andernfalls steht lediglich die subsidiäre Verfassungsbeschwerde gemäss Art. 113 ff. BGG zu Gebot (siehe zu ihrer hier besonders beschränkten Reichweite Peter Nideröst, Sans-Papiers in der Schweiz, in: Peter Uebersax et al. [Hrsg.], Ausländerrecht, 2. A., Basel 2009, S. 373 ff., Rz. 9.33; Thurnherr, Art. 112 N. 72–75; Häberli, Art. 83 N. 61) . Das Ergreifen beider Rechtsmittel hätte laut Art. 119 Abs. 1 BGG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