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VB.2014.00449 vom 4. Dezember 2014</w:t>
      </w:r>
    </w:p>
    <w:p>
      <w:r>
        <w:t>ZH Verwaltungsgericht, 2014-12-04, DE</w:t>
      </w:r>
    </w:p>
    <w:p>
      <w:r>
        <w:rPr>
          <w:b/>
        </w:rPr>
        <w:t xml:space="preserve">Quelle: </w:t>
      </w:r>
      <w:r>
        <w:t>https://mcp.opencaselaw.ch/entscheid/zh_verwaltungsgericht__VB.2014.00449</w:t>
      </w:r>
    </w:p>
    <w:p>
      <w:r>
        <w:t>FR: ZH_VERWALTUNGSGERICHT VB.2014.00449 du 4 décembre 2014</w:t>
      </w:r>
    </w:p>
    <w:p>
      <w:r>
        <w:t>IT: ZH_VERWALTUNGSGERICHT VB.2014.00449 del 4 dicembre 2014</w:t>
      </w:r>
    </w:p>
    <w:p>
      <w:pPr>
        <w:pStyle w:val="Heading2"/>
      </w:pPr>
      <w:r>
        <w:t>Regeste</w:t>
      </w:r>
    </w:p>
    <w:p>
      <w:r>
        <w:t>Sozialhilfe | Einstellung der Sozialhilfe mangels Nachweises der wirtschaftlichen Notlage. Da die Beschwerdeführerin der rechtmässigen Auflage zur Unterzeichnung von Banken- und Versicherungsvollmachten nicht nachgekommen war, konnte die Beschwerdegegnerin nicht prüfen, ob nach wie vor eine Notlage besteht. Der Nachweis des Bestehens einer Notlage bzw. die damit verbundene Bedürftigkeit bilden jedoch Anspruchsvoraussetzung für den Bezug von wirtschaftlicher Hilfe. Nachdem der fehlende Nachweis der Anspruchsvoraussetzungen auf die zu Unrecht verweigerte Mitwirkung der Beschwerdeführerin zurückzuführen ist, hält der vorinstanzliche Entscheid, mit welchem die Einstellung der wirtschaftlichen Hilfe bestätigt wurde, einer Rechtskontrolle stand (E. 4.2). Abweisung, soweit Eintreten.</w:t>
      </w:r>
    </w:p>
    <w:p>
      <w:pPr>
        <w:pStyle w:val="Heading2"/>
      </w:pPr>
      <w:r>
        <w:t>Erwägungen</w:t>
      </w:r>
    </w:p>
    <w:p>
      <w:r>
        <w:rPr>
          <w:b/>
        </w:rPr>
        <w:t>E. 5</w:t>
      </w:r>
    </w:p>
    <w:p>
      <w:r>
        <w:t>Die Beschwerde ist demnach abzuweisen, soweit darauf einzutreten ist. Die Gerichtskosten sind ausgangsgemäss de r Beschwerdeführer in zu auferlegen (§ 65a Abs. 2 in Verbindung mit § 13 Abs. 2 VRG). Eine Parteientschädigung steht der Beschwerdeführerin bei diesem Verfahrensausgang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