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VB.2014.00443 vom 22. Oktober 2014</w:t>
      </w:r>
    </w:p>
    <w:p>
      <w:r>
        <w:t>ZH Verwaltungsgericht, 2014-10-22, DE</w:t>
      </w:r>
    </w:p>
    <w:p>
      <w:r>
        <w:rPr>
          <w:b/>
        </w:rPr>
        <w:t xml:space="preserve">Quelle: </w:t>
      </w:r>
      <w:r>
        <w:t>https://mcp.opencaselaw.ch/entscheid/zh_verwaltungsgericht__VB.2014.00443</w:t>
      </w:r>
    </w:p>
    <w:p>
      <w:r>
        <w:t>FR: ZH_VERWALTUNGSGERICHT VB.2014.00443 du 22 octobre 2014</w:t>
      </w:r>
    </w:p>
    <w:p>
      <w:r>
        <w:t>IT: ZH_VERWALTUNGSGERICHT VB.2014.00443 del 22 ottobre 2014</w:t>
      </w:r>
    </w:p>
    <w:p>
      <w:pPr>
        <w:pStyle w:val="Heading2"/>
      </w:pPr>
      <w:r>
        <w:t>Regeste</w:t>
      </w:r>
    </w:p>
    <w:p>
      <w:r>
        <w:t>Stellenantritt AuG | (Die Beschwerdeführerin ersuchte den Beschwerdegegner darum, ihr den Stellenantritt einer Ausländerin als Assistentin im Umfang von 20 % zu bewilligen, die derzeit den Bachelorstudiengang der Rechtswissenschaftlichen Fakultät der Universität Zürich absolviert.) Gemäss Art. 30 Abs. 1 lit. g AuG in Verbindung mit Art. 38 VZAE lässt sich Personen, die an einer (Fach-)Hochschule in der Schweiz eine Aus- oder Weiterbildung absolvieren, die Aufnahme einer Nebenerwerbstätigkeit frühestens nach sechs Monaten bewilligen. Erforderlich hierfür ist unter anderem eine Bestätigung der Schulleitung, dass diese Tätigkeit im Rahmen der Ausbildung verantwortbar ist und den Ausbildungsabschluss nicht verzögert (Art. 38 lit. a VZAE; E. 2.2). Der Beschwerdegegner und die Vorinstanz haben das Gesuch abgewiesen, weil die Bestätigung(en) der Universität Zürich nicht genug individualisiert seien und damit dem Erfordernis von Art. 38 lit. a VZAE nicht entsprächen. Es kann davon ausgegangen werden, dass die Bestätigungen der Universität Zürich oder doch von deren Rechtswissenschaftlichen Fakultät wohl allgemein den Anforderungen von Art. 38 lit. a VZAE nicht genügen. Wenn der Beschwerdegegner unvermindert hohe Anforderungn an Bestätigungen stellt, welche von einzlnen (Fach-)Hochschulleitungen eingehalten werden (können) und von anderen nicht, führt dies zu einem stossenden, die Rechtsgleichheit verletzenden Ergebnis, indem Studierenden gewisser Bildungseinrichtungen bzw. bestimmter Studienrichtungen die Nebenerwerbstätigkeit generell verunmöglicht wird. Es geht nicht an, in Fällen, in denen es zwar an einer individualisierten Bestätigung der Schulleitung mangelt, das Gesuch einfach ohne weitere Prüfung abzuweisen. Vielmehr hat der Beschwerdegegner bei Zweifel an der Kompatitilität der Nebenerwerbstätigkeit weitere Nachweise wie namentlich Leistungsausweise der betroffenen Studierenden einzufordern und das Gesuch in der Sache selbst zu behandeln (E. 3.2). Teilweise Gutheissung undRückweisung an den Beschwerdegegner.</w:t>
      </w:r>
    </w:p>
    <w:p>
      <w:pPr>
        <w:pStyle w:val="Heading2"/>
      </w:pPr>
      <w:r>
        <w:t>Erwägungen</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 64 N. 5). Demnach hat die Beschwerdeführerin als obsiegend zu gelten und sind die Kosten des vorliegenden Verfahrens nach § 65a Abs. 2 in Verbindung mit § 13 Abs. 2 Satz 1 VRG dem Beschwerdegegner aufzuerlegen. Entsprechend hat der Beschwerdegegner der obsiegenden Beschwerdeführerin eine Parteientschädigung für das Beschwerdeverfahren auszurichten, wobei sich ein Betrag in der Höhe von Fr. 500.- als angemessen erweist (§ 17 Abs. 2 VRG).</w:t>
      </w:r>
    </w:p>
    <w:p>
      <w:r>
        <w:rPr>
          <w:b/>
        </w:rPr>
        <w:t>E. 5</w:t>
      </w:r>
    </w:p>
    <w:p>
      <w:r>
        <w:t>Zur Rechtsmittelbelehrung des nachstehenden Verfügungsdispositivs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ablehnend BGr, 21. Mai 2013, 2C_468/2013, E. 2, auch zum Folgenden). Ansonsten bleibt bloss die subsidiäre Verfassungsbeschwerde gemäss Art. 113 ff. BGG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