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VB.2014.00359 vom 27. Mai 2015</w:t>
      </w:r>
    </w:p>
    <w:p>
      <w:r>
        <w:t>ZH Verwaltungsgericht, 2015-05-27, DE</w:t>
      </w:r>
    </w:p>
    <w:p>
      <w:r>
        <w:rPr>
          <w:b/>
        </w:rPr>
        <w:t xml:space="preserve">Quelle: </w:t>
      </w:r>
      <w:r>
        <w:t>https://mcp.opencaselaw.ch/entscheid/zh_verwaltungsgericht__VB.2014.00359</w:t>
      </w:r>
    </w:p>
    <w:p>
      <w:r>
        <w:t>FR: ZH_VERWALTUNGSGERICHT VB.2014.00359 du 27 mai 2015</w:t>
      </w:r>
    </w:p>
    <w:p>
      <w:r>
        <w:t>IT: ZH_VERWALTUNGSGERICHT VB.2014.00359 del 27 maggio 2015</w:t>
      </w:r>
    </w:p>
    <w:p>
      <w:pPr>
        <w:pStyle w:val="Heading2"/>
      </w:pPr>
      <w:r>
        <w:t>Regeste</w:t>
      </w:r>
    </w:p>
    <w:p>
      <w:r>
        <w:t>Auflösung des Arbeitsverhältnisses | Kündigung zur Unzeit Der Arbeitgeber darf das Arbeitsverhältnis nach Ablauf der Probezeit unter anderem nicht kündigen, während der Arbeitnehmer für eine bestimmte Frist ohne eigenes Verschulden durch Krankheit oder Unfall ganz oder teilweise an der Arbeitsleistung verhindert ist. Wird die Kündigung während der Sperrfrist ausgesprochen, ist sie nichtig; das heisst, sie entfaltet keinerlei Wirkungen und muss wiederholt werden. War der Arbeitnehmer im Zeitpunkt der Kündigung arbeitsfähig und wird er während der Kündigungsfrist krank, so verlängert sich die Kündigungsfrist. Massgebend ist der Zugang der Kündigung beim Empfänger (E. 4.2). Die Beweislast für das Vorliegen einer gültigen Kündigung liegt bei der Beschwerdegegnerin (E. 5.2). Der Nachweis, dass die Kündigung dem Beschwerdeführer schon vor Eintritt der Sperrfrist zugegangen ist, ist vorliegend nicht erbracht worden (E. 5.6). Es ist anzunehmen, dass dem Beschwerdeführer die Kündigung während der dreissigtägigen Sperrfrist zuging und folglich nichtig ist (E. 6.2). Es liegt kein schriftlicher Aufhebungsvertrag vor noch ein konkludent angenommenes schriftliches Angebot der Beschwerdegegnerin für einen Aufhebungsvertrag (E. 7.5). Das Arbeitsverhältnis dauer weiter (E. 8.2). Nicht ersichtlich ist aus den Akten, was der Beschwerdeführer wegen seiner Verhinderung an der Arbeitsleistung erspart hat und ob er sich anderweitig erzielten Lohn oder absichtlich unterlassene Verdienstmöglichkeiten anrechnen lassen muss (E. 9.3). Teilweise Gutheissung und Rückweisung an die Vorinstanz</w:t>
      </w:r>
    </w:p>
    <w:p>
      <w:pPr>
        <w:pStyle w:val="Heading2"/>
      </w:pPr>
      <w:r>
        <w:t>Erwägungen</w:t>
      </w:r>
    </w:p>
    <w:p>
      <w:r>
        <w:rPr>
          <w:b/>
        </w:rPr>
        <w:t>E. 10</w:t>
      </w:r>
    </w:p>
    <w:p>
      <w:r>
        <w:t>Nach dem Gesagten ist die Beschwerde teilweise gutzuheissen. Dispositiv-Ziff. 1 des Beschlusses des Bezirksrats Z ist teilweise sowie Dispositiv-Ziff. 3 vollständig aufzuheben und festzustellen, dass die Kündigung der Beschwerdegegnerin vom 8. Juli 2013 nichtig ist. Im Übrigen ist die Sache zur Ergänzung des Sachverhalts und zu neuem Beschluss über den an den Beschwerdeführer zu zahlenden Geldbetrag an den Bezirksrat zurückzuweisen. Über die Entschädigungsfolgen des Rekursverfahrens wird die Rekursinstanz im Neuentscheid zu befinden haben .</w:t>
      </w:r>
    </w:p>
    <w:p>
      <w:r>
        <w:rPr>
          <w:b/>
        </w:rPr>
        <w:t>E. 11.1</w:t>
      </w:r>
    </w:p>
    <w:p>
      <w:r>
        <w:t>In personalrechtlichen Streitigkeiten, die einen Fr. 30'000.- übersteigenden Streitwert aufweisen, sind den Parteien nach § 65a Abs. 3 e contrario VRG die Gerichts­kosten aufzuerlegen.</w:t>
      </w:r>
    </w:p>
    <w:p>
      <w:r>
        <w:rPr>
          <w:b/>
        </w:rPr>
        <w:t>E. 11.2</w:t>
      </w:r>
    </w:p>
    <w:p>
      <w:r>
        <w:t>Die Rückweisung zur erneuten Entscheidung bei offenem Ausgang ist in Bezug auf die Regelung der Nebenfolgen als Obsiegen zu behandeln, wenn die Rechtsmittelinstanz reformatorisch oder kassatorisch entscheiden kann (Donatsch, Kommentar VRG, § 64 N. 5). Entscheidend ist, ob die infolge der Rückweisung vorzunehmende Neubeurteilung noch zu einer vollständigen Gutheissung des Antrages führen kann. Trifft dies zu, gilt die beschwerdeführende Person mit Blick auf die Kosten- und Entschädigungsfolgen gegenüber der Verwaltung als obsiegend. Besondere Umstände bleiben vorbehalten (BGr, 28. April 2014, 2C_846/2013, E. 3.2 f. mit Hinweisen).</w:t>
      </w:r>
    </w:p>
    <w:p>
      <w:r>
        <w:rPr>
          <w:b/>
        </w:rPr>
        <w:t>E. 11.3</w:t>
      </w:r>
    </w:p>
    <w:p>
      <w:r>
        <w:t>Der Beschwerdeführer hat demnach als vollständig obsiegend zu gelten und sind die Kosten des Beschwerdeverfahrens de r Beschwerde ­ gegner in aufzuerlegen (§ 13 Abs. 2 Satz 1 in Verbindung mit § 65a Abs. 2 VRG).</w:t>
      </w:r>
    </w:p>
    <w:p>
      <w:r>
        <w:rPr>
          <w:b/>
        </w:rPr>
        <w:t>E. 12.1</w:t>
      </w:r>
    </w:p>
    <w:p>
      <w:r>
        <w:t>Gemäss § 17 Abs. 2 lit. a VRG kann im Rekursverfahren und im Verfahren vor Verwaltungsgericht die unterliegende Partei zu einer angemessenen Entschädigung für die Umtriebe ihres Gegners verpflichtet werden, wenn die rechtsgenügende Darlegung komplizierter Sachverhalte und schwieriger Rechtsfragen besonderen Aufwand erforderte oder den Beizug eines Rechtsbeistands rechtfertigte. Die im Sinn des § 17 Abs. 2 Ingress VRG angemessene Parteientschädigung vergütet höchstens die notwendigen Rechtsverfolgungskosten, deckt diese also meistens nur teilweise. Bei der Festsetzung nach freiem, jedoch pflichtschuldigem Ermessen gilt es auf die Bedeutung der Angelegenheit, die Schwierigkeit des Prozesses, den Zeitaufwand sowie die Barauslagen zu achten. Stets müssen die besonderen Verhältnisse des Einzelfalls berücksichtigt werden: namentlich Streitwert, Ausdehnung des Verfahrens und Zahl, Umfang sowie Inhalt der erforderlichen Rechtsschriften; aber etwa auch, ob lediglich Rechtsfragen zu beantworten sind oder zusätzlich der Sachverhalt kontrovers ist und ob sich auf einer Weiterzugsstufe die gleichen Fragen stellen wie bei der Vorinstanz (zum Ganzen VGr, 11. Juni 2014, VB.2014.00044, E. 3.1 Abs. 2, und 20. Januar 2012, VB.2011.00742, E. 2.1 Abs. 3 mit Hinweisen; Plüss, § 17 N. 63 f., 67 ff., 74–76 sowie 82). Sodann hat die Entscheidinstanz dem Gleichbehandlungsgebot nach Art. 8 Abs. 1 BV nachzuleben und in ähnlich gelagerte n Fälle n ähnlich hohe Entschädigungen zuzusprechen (vgl. Plüss, § 17 N. 63) . Bei einer nicht anwaltlich vertretenen Partei werden die erforderlichen Rechtsverfolgungskosten in der Regel als geringer erachtet als beim Beizug einer anwaltlichen Vertretung (VGr, 21. August 2013, SB.2013.00056, E. 6.1; BGr, 12. Juni 2012, 1C_71/2011; E. 8.2; Plüss, § 17 N. 72).</w:t>
      </w:r>
    </w:p>
    <w:p>
      <w:r>
        <w:rPr>
          <w:b/>
        </w:rPr>
        <w:t>E. 12.2</w:t>
      </w:r>
    </w:p>
    <w:p>
      <w:r>
        <w:t>Nachdem der Beschwerdeführer keine externe Vertretung beigezogen hat, ist zu prüfen, ob dem Beschwerdeführer ein besonderer Aufwand entstanden ist, der zu einer Parteientschädigung berechtigt. Aufgrund des in Relation zum Streitwert nicht unerheblichen Rechtsverfolgungsaufwands des Beschwerdeführers und angesichts des umstrittenen Sachverhalts rechtfertigt sich die Zusprechung einer Umtriebsentschädigung für das Beschwerdeverfahren. Eine reduzierte Parteientschädigung von Fr. 500.- erscheint angemessen.</w:t>
      </w:r>
    </w:p>
    <w:p>
      <w:r>
        <w:rPr>
          <w:b/>
        </w:rPr>
        <w:t>E. 13</w:t>
      </w:r>
    </w:p>
    <w:p>
      <w:r>
        <w:t>Zur Rechtsmittelbelehrung des nachfolgenden Urteildispositivs ist Folgendes zu erläutern: Da die Beschwerde einen Fr. 15'000.- übersteigenden Streitwert aufweist, ist nach­folgend auf die Beschwerde in öffentlichrechtlichen Angelegenheiten gemäss Art. 82 ff. des Bundesgerichtsgesetzes vom 17. Juni 2005 (BGG, SR 173.110) zu verweisen (Art. 85 Abs. 1 lit. b BGG). Zu beachten ist , dass nach der Regelung in Art. 90 ff. BGG letztinstanzliche kantonale Rückweisungsentscheide als Vor- oder Zwischenentscheide im Sinn von Art. 93 BGG zu qualifizieren sind (Felix Uhlmann, Basler Kommentar, 2011, Art. 90 BGG N. 9 Abs. 2; Hansjörg Seiler/Nicolas von Werdt/Andreas Güngerich, Bundesgerichtsgesetz, Bern 2007, Art. 90 N. 9, Art. 93 N. 2). Sie sind daher vor Bundes ­ gericht nur direkt anfechtbar, wenn sie einen nicht wieder gutzumachenden Nachteil bewirken können (lit. a) oder wenn die Gutheissung der Beschwerde sofort einen End ­ entscheid herbeiführen und damit einen bedeutenden Aufwand an Zeit oder Kosten für ein weitläufiges Beweisverfahren ersparen würde (lit. b). Im Übrigen liegt wohl ein Teilentscheid vor, der ohne die eben genannten Einschränkungen weitergezogen werden kann (Art. 91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