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VB.2014.00203 vom 9. Februar 2014</w:t>
      </w:r>
    </w:p>
    <w:p>
      <w:r>
        <w:t>ZH Verwaltungsgericht, 2014-02-09, DE</w:t>
      </w:r>
    </w:p>
    <w:p>
      <w:r>
        <w:rPr>
          <w:b/>
        </w:rPr>
        <w:t xml:space="preserve">Quelle: </w:t>
      </w:r>
      <w:r>
        <w:t>https://mcp.opencaselaw.ch/entscheid/zh_verwaltungsgericht__VB.2014.00203</w:t>
      </w:r>
    </w:p>
    <w:p>
      <w:r>
        <w:t>FR: ZH_VERWALTUNGSGERICHT VB.2014.00203 du 9 février 2014</w:t>
      </w:r>
    </w:p>
    <w:p>
      <w:r>
        <w:t>IT: ZH_VERWALTUNGSGERICHT VB.2014.00203 del 9 febbraio 2014</w:t>
      </w:r>
    </w:p>
    <w:p>
      <w:pPr>
        <w:pStyle w:val="Heading2"/>
      </w:pPr>
      <w:r>
        <w:t>Regeste</w:t>
      </w:r>
    </w:p>
    <w:p>
      <w:r>
        <w:t>Stimmrechtsrekurs | [Stimmrechtsbeschwerde betreffend die Wahl des Gemeinderats der Stadt Zürich vom 9. Februar 2014 und insbesondere das der Sitzverteilung zugrundeliegende, in Art. 23 Abs. 4 der Gemeindeordnung der Stadt Zürich vom 26. April 1970 (GO) verankerte gesetzliche Quorum (Sperrklausel) von 5 %.] Der Beschwerdeführer macht insbesondere sinngemäss eine Verletzung der Wahl- und Abstimmungsfreiheit nach Art. 34 Abs. 2 BV geltend (E. 2). Die aus der Rechtsgleichheit und der politischen Gleichberechtigung folgende Wahlrechtsgleichheit erheischt insbesondere Erfolgswertgleichheit, was bedeutet, dass allen Stimmen bei der Zählung derselbe Erfolg zukommen soll: Alle Stimmen sollen in gleicher Weise zum Wahlergebnis beitragen und möglichst alle sind bei der Mandatsverteilung zu berücksichtigen (E. 3.1). In der Ausgestaltung ihres politischen Systems sind die Kantons weitgehend frei. Den verfassungsrechtlichen Anforderungen von Art. 39 Abs. 1 BV genügen grundsätzlich das Mehrheits- wie das Verhältniswahlverfahren. Die Bundesverfassung verlangt nicht, dass die Kantone ihr Parlament nach einem reinen Verhältniswahlrecht wählen. Schranken für die Ausgestaltung des Wahlverfahrens bilden die Wahl- und Abstimmungsfreiheit von Art. 34 BV und das die politische Gleichberechtigung garantierende Rechtsgleichheitsgebot von Art. 8 Abs. 1 BV. Da jede Abweichung vom Proporz zwangsläufig zu einer Ungleichbehandlung von Wählerstimmen führt, lassen diese Garantien die Aufnahme proporzfremder Elemente ins Wahlverfahren nur zu, wenn dafür ausreichende sachliche Gründe bestehen (E. 3.2). Das Bundesgericht anerkennt in ständiger Praxis die grundsätzliche Zulässigkeit auch gesetzlicher Quoren (auch "Sperrklauseln" oder "direkte Quoren"), bezeichnet jedoch die Limite von 10 % als absolute Obergrenze (E. 3.3). In der Lehre wird an direkten Quoren und der bundesgerichtlichen Rechtsprechung dazu grundlegende Kritik geübt. Namentlich das stets zu deren Begründung angeführte Argument der Verhinderung derParteienzersplitterung greife in einer Konkordanzdemokratie schweizerischer Ausprägung nicht (E. 3.4). Art. 23 Abs. 4 GO wurde - wie der entsprechende § 102 Abs. 3 GPR für die Wahl des Kantonsrats - 2005 eingeführt und eine Herabsetzung des Quorums auf 2 % wurde anlässlich einer Abstimmung im Jahr 2011 abgelehnt. Hierfür ausschlaggebend waren insbesondere das erwähnte Argument der Verhinderung der Parteienzersplitterung wie auch diejenigen der Aufrechterhaltung der Effizienz des Ratsbetriebs und der Kontinuität des Wahlverfahrens (E. 3.5.1 f.). Für das gesetzliche Quorum von 5 % für die Wahl des Gemeinderats bestehen somit - vom Bundesgericht in diesem Zusammenhang bislang ohne weiteres anerkannte - sachliche Gründe. Weiter fällt bezüglich des stadtzürcherischen Quorums in Betracht, dass es massvoll ausgestaltet ist: Es liegt zum einen weit unter der absoluten Grenze von 10 % und greift zum anderen nicht auf der Ebene des gesamten Wahlgebiets, sondern lediglich der einzelnen Wahlkreise. Schliesslich garantiert das Zürcher Zuteilungsverfahren insgesamt eine sehr weit gehende Verwirklichung (auch) der Erfolgswertgleichheit. In Anbetracht dieser Umstände lässt sich das in Frage stehende Quorum jedenfalls vor dem Hintergrund der konstanten bundesgerichtlichen Praxis rechtfertigen (E. 3.5.3). Abweisung</w:t>
      </w:r>
    </w:p>
    <w:p>
      <w:pPr>
        <w:pStyle w:val="Heading2"/>
      </w:pPr>
      <w:r>
        <w:t>Erwägungen</w:t>
      </w:r>
    </w:p>
    <w:p>
      <w:r>
        <w:rPr>
          <w:b/>
        </w:rPr>
        <w:t>E. 4</w:t>
      </w:r>
    </w:p>
    <w:p>
      <w:r>
        <w:t>Nach dem Dargelegten ist die Beschwerde abzuweisen. Gestützt auf § 65a Abs. 2 in Verbindung mit § 13 Abs. 4 VRG sind die Kosten des vorliegenden Verfahrens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