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VB.2014.00076 vom 12. März 2014</w:t>
      </w:r>
    </w:p>
    <w:p>
      <w:r>
        <w:t>ZH Verwaltungsgericht, 2014-03-12, DE</w:t>
      </w:r>
    </w:p>
    <w:p>
      <w:r>
        <w:rPr>
          <w:b/>
        </w:rPr>
        <w:t xml:space="preserve">Quelle: </w:t>
      </w:r>
      <w:r>
        <w:t>https://mcp.opencaselaw.ch/entscheid/zh_verwaltungsgericht__VB.2014.00076</w:t>
      </w:r>
    </w:p>
    <w:p>
      <w:r>
        <w:t>FR: ZH_VERWALTUNGSGERICHT VB.2014.00076 du 12 mars 2014</w:t>
      </w:r>
    </w:p>
    <w:p>
      <w:r>
        <w:t>IT: ZH_VERWALTUNGSGERICHT VB.2014.00076 del 12 marzo 2014</w:t>
      </w:r>
    </w:p>
    <w:p>
      <w:pPr>
        <w:pStyle w:val="Heading2"/>
      </w:pPr>
      <w:r>
        <w:t>Regeste</w:t>
      </w:r>
    </w:p>
    <w:p>
      <w:r>
        <w:t>fehlendes Rechtsdomizil | [Weil die Einzelunternehmung der Beschwerdeführerin an ihrem Rechtsdomizil nicht mehr erreichbar war und der rechtmässige Zustand innert Frist nicht wiederhergestellt wurde, verfügte der Beschwerdegegner die Löschung der Einzelunternehmung und auferlegte der Beschwerdeführerin die Eintragungsgebühren sowie eine Busse von Fr. 400.-.] Die Beschwerdeführerin ist der Aufforderung, den rechtmässigen Zustand wiederherzustellen, nicht innert Frist nachgekommen (E. 2.1 f.). Indem der Beschwerdegegner die Busse unabhängig von der konkreten Fallkonstellation und ohne nähere Begründung immer auf Fr. 400.- festsetzt, begeht er eine Ermessensunterschreitung; die Höhe der Busse trägt vorliegend dem Bagatellcharakter der Verfehlung der Beschwerdeführerin nicht Rechnung, weshalb der Beschwerdegegner sein Ermessen missbräuchlich ausgeübt hat (E. 2.3). Die Verfügung wurde der davon direkt betroffenen Beschwerdeführerin nur "zur Kenntnisnahme" zugestellt; ein solches Vorgehen verstösst gegen Treu und Glauben (E. 2.4). Teilweise Gutheissung.</w:t>
      </w:r>
    </w:p>
    <w:p>
      <w:pPr>
        <w:pStyle w:val="Heading2"/>
      </w:pPr>
      <w:r>
        <w:t>Erwägungen</w:t>
      </w:r>
    </w:p>
    <w:p>
      <w:r>
        <w:rPr>
          <w:b/>
        </w:rPr>
        <w:t>E. 4</w:t>
      </w:r>
    </w:p>
    <w:p>
      <w:r>
        <w:t>Ausgangsgemäss sind die Gerichtskosten der Beschwerdeführerin und dem Beschwerdegegner je zur Hälfte aufzuerlegen (§ 65a Abs. 2 in Verbindung mit § 13 Abs. 2 Satz 1 VRG).</w:t>
      </w:r>
    </w:p>
    <w:p>
      <w:r>
        <w:rPr>
          <w:b/>
        </w:rPr>
        <w:t>E. 5</w:t>
      </w:r>
    </w:p>
    <w:p>
      <w:r>
        <w:t>Zur Rechtsmittelbelehrung des nachfolgenden Dispositivs ist Folgendes zu erläutern: Nach Art. 72 Abs. 2 lit. b Ziff. 2 des Bundesgerichtsgesetzes vom 17. Juni 2005 (BGG, SR 173.110) unterliegen öffentlichrechtliche Entscheide im Zusammenhang mit der Führung des Handelsregisters der Beschwerde in Zivilsachen nach Art. 72 ff. BGG. Gemäss Art. 74 Abs. 1 BGG ist diese in vermögensrechtlichen Angelegenheiten – wie hier – indes nur zulässig, wenn der Streitwert mindestens Fr. 30'000.- beträgt (vgl. hierzu etwa BGr, 11. April 2011, 4A_636/2010, E. 1.1) oder sich eine Rechtsfrage von grundsätzlicher Bedeutung stellt (Art. 74 Abs. 2 lit. a BGG). Ansonsten steht die subsidiäre Verfassungsbeschwerde nach Art. 113 ff. BGG offen. Werden beide Rechtsmittel ergriffen, hat dies in der gleichen Rechtsschrift zu geschehen.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