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VB.2014.00073 vom 30. Juni 2015</w:t>
      </w:r>
    </w:p>
    <w:p>
      <w:r>
        <w:t>ZH Verwaltungsgericht, 2015-06-30, DE</w:t>
      </w:r>
    </w:p>
    <w:p>
      <w:r>
        <w:rPr>
          <w:b/>
        </w:rPr>
        <w:t xml:space="preserve">Quelle: </w:t>
      </w:r>
      <w:r>
        <w:t>https://mcp.opencaselaw.ch/entscheid/zh_verwaltungsgericht__VB.2014.00073</w:t>
      </w:r>
    </w:p>
    <w:p>
      <w:r>
        <w:t>FR: ZH_VERWALTUNGSGERICHT VB.2014.00073 du 30 juin 2015</w:t>
      </w:r>
    </w:p>
    <w:p>
      <w:r>
        <w:t>IT: ZH_VERWALTUNGSGERICHT VB.2014.00073 del 30 giugno 2015</w:t>
      </w:r>
    </w:p>
    <w:p>
      <w:pPr>
        <w:pStyle w:val="Heading2"/>
      </w:pPr>
      <w:r>
        <w:t>Regeste</w:t>
      </w:r>
    </w:p>
    <w:p>
      <w:r>
        <w:t>Vorentscheid betreffend gewässerschutzrechtlicher Ausnahmebewilligung | Mit Vorentscheid mit Verbindlichkeit gegenüber Dritten entschied die Baudirektion, dass für das im Gewässerraum eines eingedolten Bachs geplante Einfamilienhaus keine Ausnahmebewilligung nach Art. 41c GSchV in Aussicht gestellt werden könne (E. 1.3). Für die Erteilung einer Ausnahmebewilligung nach Art. 41c Abs. 1 GSchV ist nicht erforderlich, dass bereits ein definitiver Gewässerraum ausgeschieden wurde (E. 2.1). In Nachachtung des Verhältnismässigkeitsgebots darf eine gewässerrechtliche Ausnahmebewilligung nicht unbesehen unter Hinweis auf eine (mittlere) Gefährdung durch Hochwasser verweigert werden. Bauvorhaben im Gewässerraum sind nicht von vornherein vom Anwendungsbereich des Art. 41c Abs. 1 GSchV ausgenommen, selbst wenn sie aus Gründen des Hochwasserschutzes besondere Auflagen erfordern. Zu verlangen ist auch in diesen Fällen eine Einzelfallabwägung (E. 3.3). Droht das Bauvorhaben, die Revitalisierung des Gewässers zu vereiteln, fällt eine Ausnahmebewilligung nach Art. 41c Abs. 1 GSchV wegen überwiegender öffentlicher Interessen ausser Betracht (E. 3.4.1). Mit der möglichen Präjudizierung einer Renaturierung des Gewässers haben sich Beschwerdegegnerin und Vorinstanz nicht einlässlich befasst (E. 3.5 und 3.6). Teilweise Gutheissung und Rückweisung an die Beschwerdegegnerin.</w:t>
      </w:r>
    </w:p>
    <w:p>
      <w:pPr>
        <w:pStyle w:val="Heading2"/>
      </w:pPr>
      <w:r>
        <w:t>Erwägungen</w:t>
      </w:r>
    </w:p>
    <w:p>
      <w:r>
        <w:rPr>
          <w:b/>
        </w:rPr>
        <w:t>E. 4</w:t>
      </w:r>
    </w:p>
    <w:p>
      <w:r>
        <w:t>Hebt das Verwaltungsgericht die angefochtene Anordnung auf, so entscheidet es selbst (§ 63 Abs.  1 VRG) oder weist die Sache zu neuer Entscheidung an die Vorinstanz zurück, namentlich dann, wenn der Sachverhalt ungenügend festgestellt worden ist (§  64 Abs. 1 VRG). Über den Wortlaut hinaus kommt auch eine direkte Rückweisung an eine untere Instanz in Betracht (sog. Sprungrückweisung; Marco Donatsch, Kommentar VRG, § 64 N. 4 mit Hinweisen). Angesichts der Fachkenntnis der Beschwerdegegnerin und des ihr bei der Anwendung von Art. 41c Abs. 1 GSchV zustehenden Beurteilungsspielraums (vgl. vorn E. 3.3) erscheint es als geboten, die Sache an sie zur ergänzenden Sachverhaltsermittlung und Durchführung der im Sinn von E. 3.2, 3.3 und 3.4 gebotenen Interessenabwägung zurückzuweisen. Die Beschwerdegegnerin bzw. das ihr unterstellte AWEL wird im Einzelnen abzuklären haben, ob das Bauvorhaben der Verwirklichung eines künftigen parzellenübergreifenden Hochwasserschutz- bzw. Renaturierungsprojekts der Gemeinde zuwiderläuft. Falls eine relevante Beeinträchtigung des künftigen Ausbauprojekts auszuschliessen ist, wird die Beschwerdegegnerin alsdann unter Berücksichtigung der gegenüber dem Bachbett (S. = 482,61 m.ü.M.) erhöhten Lage des projektierten Einfamilienhauses (G.T. = 483,55 bzw. 483,25 m.ü.M.) und allfälliger Rückstaumöglichkeiten zu prüfen haben, ob der (vorübergehenden) Hochwassergefährdung des Bauvorhabens mittels (allenfalls temporärer) Objektschutzmassnahmen beizukommen ist (vgl. vorn E. 3.3 in fine) oder ob eine Ausnahmebewilligung nach Art. 41c Abs. 1 GSchV bis zur Realisierung des Sanierungsprojekts ausser Betracht fällt. Anzumerken bleibt, dass der Uferstreifen räumlich so wenig wie möglich in Anspruch zu nehmen ist und der Nachweis, dass keine weniger starke Beanspruchung des Gewässerraums durch die vorgesehene Baute möglich ist, grundsätzlich Sache der Bauherrschaft ist (BGE 139 II 470 E. 4.5 S. 484). Vorliegend hat die Bauherrschaft bereits zu erkennen geben, dass eine Vergrösserung des Gewässerabstandes auf 5,5 m grundsätzlich möglich ist.</w:t>
      </w:r>
    </w:p>
    <w:p>
      <w:r>
        <w:rPr>
          <w:b/>
        </w:rPr>
        <w:t>E. 5</w:t>
      </w:r>
    </w:p>
    <w:p>
      <w:r>
        <w:t>Die Beschwerde ist demnach teilweise gutzuheissen und die Sache zur weiteren Abklärung im Sinn der Erwägungen an die Beschwerdegegnerin zurückzuweisen. Da deren unzureichende Sachverhaltsabklärung von den Beschwerdeführenden nicht zu vertreten ist, sind die Kosten des Beschwerde- und des Rekursverfahrens vollumfänglich der Beschwerdegegnerin aufzuerlegen (§ 13 Abs. 2 VRG; BGr, 12. Mai 2011, 2C_60/2011, E. 2.4 f.; vgl. Kaspar Plüss, Kommentar VRG, § 13 N. 73). Diese ist angesichts der Schwierigkeit der sich stellenden Rechtsfragen und des damit verbundenen höheren Rechtsverfolgungsaufwands zu verpflichten, den Beschwerdeführenden für beide Verfahren eine Parteientschädigung von insgesamt Fr. 3'000 zu entrichten (§ 17 Abs. 2 lit. a VRG).</w:t>
      </w:r>
    </w:p>
    <w:p>
      <w:r>
        <w:rPr>
          <w:b/>
        </w:rPr>
        <w:t>E. 6</w:t>
      </w:r>
    </w:p>
    <w:p>
      <w:r>
        <w:t>Im Rahmen der Rechtsmittelbelehrung ist darauf hinzuweisen, dass ein Rückweisungsentscheid nach der Rechtsprechung des Bundesgerichts einen Zwischenentscheid darstellt, der nur angefochten werden kann, wenn die Voraussetzungen von Art. 93 des Bundesgerichtsgesetzes vom 17. Juni 2005 (BGG; SR 173.110) erfüllt sind (BGE 133 II 409 E. 1.2, S. 402 unten).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