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VB.2014.00044 vom 11. Juni 2014</w:t>
      </w:r>
    </w:p>
    <w:p>
      <w:r>
        <w:t>ZH Verwaltungsgericht, 2014-06-11, DE</w:t>
      </w:r>
    </w:p>
    <w:p>
      <w:r>
        <w:rPr>
          <w:b/>
        </w:rPr>
        <w:t xml:space="preserve">Quelle: </w:t>
      </w:r>
      <w:r>
        <w:t>https://mcp.opencaselaw.ch/entscheid/zh_verwaltungsgericht__VB.2014.00044</w:t>
      </w:r>
    </w:p>
    <w:p>
      <w:r>
        <w:t>FR: ZH_VERWALTUNGSGERICHT VB.2014.00044 du 11 juin 2014</w:t>
      </w:r>
    </w:p>
    <w:p>
      <w:r>
        <w:t>IT: ZH_VERWALTUNGSGERICHT VB.2014.00044 del 11 giugno 2014</w:t>
      </w:r>
    </w:p>
    <w:p>
      <w:pPr>
        <w:pStyle w:val="Heading2"/>
      </w:pPr>
      <w:r>
        <w:t>Regeste</w:t>
      </w:r>
    </w:p>
    <w:p>
      <w:r>
        <w:t>Lohneinreihung (teilweise Wiederaufname von VB.2012.00739) | [Neufestsetzung der Parteientschädigung nach Rückweisungsentscheid des Bundesgerichts.] Einzelrichterliche Zuständigkeit (E. 1 Abs. 2 f.). Das Verwaltungsgericht ist im zweiten Rechtsgang an die Erwägungen des oberinstanzlichen Rückweisungsentscheids gebunden. Das Verwaltungsgericht hat gemäss bundesgerichtlichen Urteil die Parteientschädigung für die beiden kantonalen Rechtsmittelverfahren willkürlich zu tief festgelegt und muss jetzt dem Beschwerdeführer eine höhere als Fr. 1'200.- einschliesslich Mehrwertsteuer zusprechen. Wie weit darüber die Willkürgrenze verlaufe, verrät der Rückweisungsentscheid nicht. Insofern fehlt eine Bindung und verstiesse – aufs Äusserste zugespitzt – eine neue Summe von Fr. 1'200.01 samt Mehrwertsteuer nicht gegen ihn (E. 2.1). Stillschweigend und übungsgemäss hat das Verwaltungsgericht im ersten Rechtsgang angenommen, zum Parteientschädigungspunkt treffe es – anders als gegenwärtig – eine höchstens reduzierte sowie insofern auch befolgte Begründungspflicht (E. 2.2). Anwendbarkeit von § 17 Abs. 2 lit. a VRG (E. 2.4). Die Praxis zu § 17 Abs. 2 Ingress VRG verschafft Anspruch auf eine Parteientschädigung erst bei zumindest überwiegendem oder mehrheitlichem Obsiegen. Insofern bemisst sich diese nach dem Unterliegen des Entschädigungsschuldners über einen hälftigen Verlust hinaus. Sie wird prinzipiell nicht nach generell-abstrakten Tarifen berechnet - mit Ausnahme von Steuerfällen mit bestimmtem oder bestimmbarem Streitwert (E. 3.1 Abs. 1). Die im Sinn des § 17 Abs. 2 Ingress VRG angemessene Parteientschädigung vergütet höchstens die notwendigen Rechtsverfolgungskosten, deckt diese also meistens nur teilweise (E. 3.1 Abs. 2). Berechnung der Parteientschädigung nach dem Anwaltsgebührentarif (E. 3.5). Es rechtfertigt sich, die Parteientschädigung wieder auf Fr. 1'200.- festzusetzen, allerdings die Mehrwertsteuer zusätzlich zu gewähren und dergestalt einen um 8 % höheren Betrag zuzusprechen (E. 3.6). Rechtsmittelbelehrung (E. 4).</w:t>
      </w:r>
    </w:p>
    <w:p>
      <w:pPr>
        <w:pStyle w:val="Heading2"/>
      </w:pPr>
      <w:r>
        <w:t>Erwägungen</w:t>
      </w:r>
    </w:p>
    <w:p>
      <w:r>
        <w:rPr>
          <w:b/>
        </w:rPr>
        <w:t>E. 4</w:t>
      </w:r>
    </w:p>
    <w:p>
      <w:r>
        <w:t>Zur Rechtsmittelbelehrung im nachstehenden Urteilsdispositiv ist Folgendes zu erläutern: Hinsichtlich dieses nur die Parteientschädigung als Nebenfolgenregelung beschlagenden Erkenntnisses gibt es die gleiche Weiterzugsmöglichkeit wie im ersten Rechtsgang zur Hauptsache (vgl. Thomas Häberli, Basler Kommentar, 2011, Art. 83 BGG N. 9 e contrario; Plüss, § 17 N. 91). Der Rückweisungsentscheid vom 18. Dezember 2013 hat die Zulässigkeit der ordentlichen Beschwerde an das Bundesgericht bereits gänzlich ausgeschlossen (E. 1.1; anders noch E. 9 sowie Dispositiv-Ziff. 5 des verwaltungsgerichtlichen Urteils vom 15. Mai 2013).</w:t>
      </w:r>
    </w:p>
    <w:p>
      <w:r>
        <w:rPr>
          <w:b/>
        </w:rPr>
        <w:t>E. 4.2</w:t>
      </w:r>
    </w:p>
    <w:p>
      <w:r>
        <w:t>in Verbindung mit E. 2.3). Erstens bezieht sich Art. 18 Abs. 1 KV nur auf Verfahrenskosten; Parteientschädigungen sind damit nicht gemeint (vgl. Giovanni Biaggini in: Isabelle Häner/Markus Rüssli/Evi Schwarzenbach [Hrsg.], Kommentar zur Zürcher Kantonsverfassung, Zürich etc. 2007, Art. 18 N. 19 ff.; VGr, 3. September 2008, SB.2008.00040, E. 4 Abs. 2, und 23. Mai 2012, AN.2011.00001, E. 4.3; das scheint Plüss, § 17 N. 57, ebenso zu übersehen). Unlösbare Probleme böte sonst etwa auch § 17 Abs. 3 VRG (dazu Plüss, § 17 N. 93 ff.), wonach bei Gegenüberstehen privater Verfahrensparteien mit sich widerstreitenden Begehren die Entschädigung in der Regel der Verliererin auferlegt wird. Zweitens kann Art. 2 Abs. 3 KV dem Beschwerdeführer in seiner Allgemeinheit nicht zu mehr verhelfen als die bereits dargestellten Grundsätze zur Festlegung der Parteientschädigungshöhe (vgl. Biaggini, Art. 2 N. 1, 3, 5 ff., 19 f. und 22). 3.3 Weil der Beschwerdeführer bei der Vorinstanz eine höhere Einreihung um zwei Lohnklassen verlangte, im ersten Rechtsgang dann aber nur den Anstieg um eine solche erstritt, billigte das Verwaltungsgericht insofern für das Rekursverfahren keine Parteientschädigung zu (siehe vorn IIIA Abs. 3 in der Mitte des Urteilszitats). Ohne schon deswegen zu einer Kassation zu schreiten, bleibt für den Rückweisungsentscheid unerklärlich, "weshalb […] der damit dennoch – zumindest teilweise – erlangte Prozesserfolg nicht auch einen entsprechenden Anspruch auf Parteientschädigung verschaffen sollte. Auch für dieses Ergebnis war zweifellos ein Aufwand […] vonnöten. Dass dieser wesentlich geringer ausgefallen wäre, wenn von Anfang an eine Einreihung lediglich in Lohklasse 19 und nicht in Lohnklasse 20 beantragt worden wäre, ist kaum anzunehmen. Nach bundesgerichtlicher Rechtsprechung jedenfalls besteht wegen Überklagens grundsätzlich kein Anlass zu einer Reduktion der Parteientschädigung, weil dieses den Prozessaufwand in aller Regel nicht wesentlich beeinflusst […]. Das kantonale Gericht hat seine davon abweichende Ansicht denn auch nicht weiter begründet und ist damit seiner […] Begründungspflicht […] nicht nachgekommen" (E. 4.1; vgl. auch E. 2.2). Ob Überklagen vor Bundesgericht die Parteientschädigung grundsätzlich nicht doch schmälere, darf offenbleiben (siehe immerhin Hansjörg Seiler in: derselbe/Nicolas von Werdt/Andreas Güngerich, Bundesgerichtsgesetz [BGG], Bern 2007, Art. 68 N. 9; Bernard Corboz in: derselbe et al., Commentaire de la LTF [Loi sur le Tribunal fédéral], Bern 2009, Art. 68 N. 42; Thomas Geiser, Basler Kommentar, 2011, Art. 68 BGG N. 14; Annette Dolge in: Spühler et al., Art. 68 N. 3); denn auf die Praxis zu anderen Verfahrenserlassen kommt es hier wie oben 2.3 Abs. 3 gesagt nicht an. Indem der Beschwerdeführer bezüglich Lohnklassenanstiegs als im Rekursverfahren nur hälftig obsiegend dasteht, bleibt er nach dem vorn 3.1 Abs. 1 Dargelegten insoweit ohne Anspruch auf Parteientschädigung. 3.4 Gemäss dem Rückweisungsentscheid macht der Beschwerdeführer mit Recht darauf aufmerksam, er habe in den kantonalen Verfahren auch nach Ansicht des Verwaltungsgerichts insgesamt weitestgehend obsiegt, und mache geltend, angesichts des dafür notwendigen Aufwands erscheine eine Parteientschädigung von Fr. 1'200.- willkürlich tief; das Bun­desgericht fährt fort: "Tatsächlich entspricht die gewährte Entschädigung nach Abzug der darin enthaltenen Mehrwertsteuer und anzunehmender Barauslagen selbst bei einem – als sehr bescheiden zu qualifizierenden – Stundenansatz von lediglich Fr. 200.- einem Arbeitseinsatz von höchstens rund fünf Stunden. Damit musste sein Rechtsvertreter immerhin in zwei Rechtsmittelverfahren tätig werden, wobei die hohe Komplexität und Schwierigkeit der Rechtslage zweifelsohne zu bejahen sind. Bei diesen Gegebenheiten einen zeitlichen Aufwand in der Grössenordnung von lediglich fünf Stunden anzunehmen, lässt sich mit sachlichen Gründen nicht vertreten und muss daher als willkürlich bezeichnet werden" (E. 4.2). Nur vor sich hat das Verwaltungsgericht den Beschwerdeführer als vollständig obsiegend erachtet, nicht aber im Rekursverfahren (siehe das Urteilszitat vorn IIIA Abs. 3). Darauf ist noch näher einzugehen. Das Verwaltungsgericht hat ebenso wenig angenommen, der Vertreter des Beschwerdeführers habe für die beiden kantonalen Rechtsmittelverfahren bloss rund fünf Stunden zu arbeiten brauchen. Vielmehr hat es im Sinn des oben 3.1 Aufgezeigten bewusst keine kosten­deckende Parteientschädigung zugesprochen. Auch das ist wieder aufzugreifen. 3.5 Erhellend wirkt eine Berechnung der Parteientschädigung nach dem Anwaltsgebührentarif trotz seiner hier – wie oben 3.1 gesehen (ebenso zum Folgenden) – eigentlichen Unanwendbarkeit; er deckt nämlich tendenziell den erforderlichen Vertretungsaufwand voll, zwingt insofern bei niedrigem Streitwert aber auch zu haushälterischem Umgang mit der Zeit (vgl. § 48 Abs. 2 Satz 2 des [Kantonalzürcher] Anwaltsgesetzes vom 17. November 2003 [LS 215.1], wonach "[d]ie Gebühren für die Parteivertretung […] nach Massgabe der zur Erledigung des Rechtsstreites notwendigen Bemühungen sowie unter Berücksichtigung des Streitwertes oder Interessenwertes bemessen werden" sollen; ferner Karl Spühler/An­nette Dolge/Myriam Gehri, Schweizerisches Zivilprozessrecht, 9. A., Bern 2010, S. 172; Martin Sterchi, Berner Kommentar, 2012, Art. 95 ZPO N. 14). Daher rühren dürfte im Zusammenhang mit der Angemessenheit der Parteientschädigung im Sinn des § 17 Abs. 2 Ingress VRG, dass das Verwaltungsgericht diese in Steuerfällen mit bestimmtem oder bestimmbarem Streitwert zuerst gestützt auf den Anwaltsgebührentarif kalkuliert und dann mindert. 3.5.1 Analog der Berechnung im Urteil des Verwaltungsgerichts vom 15. Mai 2013 (E. 1.2.2) betrug der Streitwert im vorinstanzlichen Verfahren statt Fr. 12'600.- erst (Fr. 12'600.- mal 2 geteilt durch 3 gleich) Fr. 8'400.-; denn es ging dort zwar um einen dop­pelten Lohnklassenanstieg statt eines einfachen ab September 2010, aber nur für ein Jahr statt dreier, nämlich bis August 2011, wäre doch eine Kündigung bei Anhängigmachen des Rekurses im März 2011 für den damals noch im 9. Dienstjahr stehenden Beschwerdeführer mit einer Dreimonatsfrist auf Ende des Frühlings-/Sommersemesters 2011 möglich gewesen (siehe oben I Abs. 2 bis IIIA Abs. 1; § 17 Abs. 1 lit. c des Personalgesetzes vom 27. September 1998, LS 177.10; § 13 Abs. 1 AnwGebV). Aus § 4 AnwGebV ergibt sich hierfür eine Grundgebühr von Fr. 2'032.- (Abs. 1), die sich – "[i]st die Verantwortung, oder der Zeitaufwand der Vertretung oder die Schwierigkeit des Falls besonders hoch oder tief" – um bis zu einem Drittel (auf Fr. 2'709.35) erhöhen oder (auf Fr. 1'354.65) ermässigen lässt (Abs. 2). Nach § 2 Abs. 2 AnwGebV wird diese Gebühr "[b]ei einem offensichtlichen Missverhältnis zwischen dem Streitwert und dem notwendigen Zeitaufwand der Vertretung […] entsprechend erhöht oder herabgesetzt". Nun vertrat ja der Anwalt des Beschwerdeführers diesen schon vor erster Instanz einschliesslich behördlicher Sitzungen; im Rekursverfahren (wie vor Verwaltungsgericht) beschränkte sich seine Tätigkeit auf das Verfassen je einer Rechtsmittelschrift (vgl. vorn 2.3 Abs. 2 und im dortigen Zitat). Bei wie hier endgültiger Streiterledigung wird die Grundgebühr alsdann auf einen bis zwei Drittel herabgesetzt, worauf freilich in besonderen Fällen, namentlich bei starker Inanspruchnahme des Novenrechts, verzichtet werden kann (§ 13 Abs. 2 f. AnwGebV). Unter Vorbehalt des § 2 Abs. 2 AnwGebV bleibt es also bei den im vorigen Absatz genannten Parteientschädigungen oder können sie bis auf Fr. 677.35, Fr. 903.10 bzw. Fr. 451.55 sinken. Da der Beschwerdeführer ausserdem vom bei der Vorinstanz verlangten Aufstieg um zwei Lohnklassen letztlich nur die Hälfte, allerdings auch immerhin Anspruch auf eine zusätzliche Wochenlektion erkämpfte, erscheint er im Nachhinein als mit seinem Rekurs zu gegen 70 % durchdringend, was ihm insofern eine auf 40 % reduzierte Parteientschädigung einträgt (siehe vorn 3.1 Abs. 1). Wenn die Schwierigkeit des Falles ein Anheben der Grundgebühr auf Fr. 2'709.35 nahelegt, braucht es nicht ein zusätzlich erhöhendes Heranziehen des § 2 Abs. 2 AnwGebV. Um diese Gebühr für den Rekurs des ja bereits in die Sache eingearbeiteten Anwalts nicht – wenn auch nur um einen Drittel auf Fr. 1'806.20 – zu senken, fehlt ein Grund. 40 % hiervon ergeben für das vorinstanzliche Verfahren Fr. 722.50 als Parteientschädigung. 3.5.2 Vor Verwaltungsgericht hat der Beschwerdeführer bei höherem Streitwert von Fr. 12'600.- voll obsiegt. Die Grundgebühr beläuft sich gemäss § 4 Abs. 1 AnwGebV auf Fr. 2'790.-. Im Sinn des oben 3.5.1 Erwogenen ist sie für das Beschwerdeverfahren um einen Drittel auf Fr. 3'720.- anzuheben und das wieder um einen Drittel auf Fr. 2'480.-, aber dann nicht mehr weiter zu kürzen. Für die beiden kantonalen Rechtsmittel ergibt sich so nach dem Anwaltsgebührentarif eine Parteientschädigung von insgesamt Fr. 3'202.50 bzw. – vermehrt um 8 % Mehrwertsteuer – Fr. 3'458.70. Unterwirft man diese aufgrund von Streitwerten errechnete und schon alle Besonderheiten berücksichtigende Summe nach Art des Verwaltungsgerichts in Steuerfällen einer Herabsetzung auf einen Drittel (vgl. oben 3.1 Abs. 1), resultiert einschliesslich Mehrwertsteuer, aber noch ohne Berücksichtigung von Barauslagen eine Parteientschädigung von Fr. 1'152.90, die sich annähernd mit der vom Verwaltungsgericht im ersten Rechtsgang zugesprochenen von Fr. 1'200.- deckt. Demgegenüber forderte die subsidiäre Verfassungsbeschwerde (S. 1 f.+4+7) für den ganzen ersten kantonalen Rechtsgang samt Mehrwertsteuer Fr. 9'859.- bei einem geltend gemachten Arbeitsaufwand des Anwalts von 33 Stunden; über dessen dem Bundesgericht eingereichtes "Time-Sheet" weiss das Verwaltungsgericht inhaltlich nichts. Diese Leistung von 33 Stunden sowie die wohl im Wesentlichen darauf beruhende Honorarnote brauchen als solche nicht bezweifelt zu werden. Vorsichtig geschätzt wenigstens die Hälfte hiervon muss indes wegen Einarbeitens in die Materie, Teilnahme auch (und nur dort) an behördlichen Sitzungen sowie Verfassens zweier Schriftsätze das erstinstanzliche Verfahren betreffen, wofür es keine Parteientschädigung gibt; deshalb können auf die kantonalen Rechtsmittel bloss Fr. 4'929.50 entfallen. Letzterer Betrag vermindert sich des lediglich unvollständigen Obsiegens im Rekurs halber um drei Zehntel auf Fr. 3'450.65; das entspricht, obgleich nebst der Mehrwertsteuer ebenso die Barauslagen eingeschlossen sein dürften, ziemlich genau den im vorigen Absatz anhand des Anwaltsgebührentarifs errechneten Fr. 3'458.70. Anhand solcher Hilfsgedanken drängt sich kein grosses Steigern der im Rückweisungsentscheid als willkürlich tief kassierten Parteientschädigung von einschliesslich Mehrwert­steuer Fr. 1'200.- auf. Dass dieser Betrag unter der Annahme, der Aufwand des beschwerdeführerischen Vertreters sei notwendig gewesen, bloss rund einen Drittel bzw. 33 % der in Frage kommenden Kosten deckt, erweist sich im Licht der oben 3.1 geschilderten verwaltungs- und bundesgerichtlichen Praxis als keineswegs untertrieben. 3.6 Das alles vorausgeschickt, ist jetzt die angemessene, zwingend Fr. 1'200.- einschliesslich Mehrwertsteuer übersteigende Parteientschädigung des Beschwerdegegners an den Beschwerdeführer für Rekurs- und Beschwerdeverfahren zu bestimmen. Hierbei dürften wohl die erst vor Bundesgericht präsentierte Honorarnote über Fr. 9'859.- und der dort geltend gemachte Zeitaufwand von 33 Stunden unberücksichtigt bleiben (siehe E. 3.2 im Rückweisungsentscheid; Donatsch, § 64 N. 16 f.). Doch ohnehin verfügt das Verwaltungsgericht bloss über die subsidiäre Verfassungsbeschwerde und ändert, wie schon vorstehend klar geworden sein muss, deren Kenntnisnahme nichts. Für eine grosszügige Parteientschädigung spricht fast nur die Schwierigkeit der zu beantwortenden, immerhin nicht ausufernden sowie im gesamten ersten Rechtsgang unveränderten Rechtsfrage(n), dagegen aber, dass -    der Anwalt des Beschwerdeführers die Grundlagen seiner Tätigkeit entschädigungslos schon im erstinstanzlichen Verfahren erarbeiten musste, -    er in den kantonalen Rechtsmittelverfahren lediglich je eine und allein vor Verwaltungsgericht etwas umfangreichere Rechtsschrift zu verfassen hatte, -    er hierbei nicht den zutreffenden Lösungsweg beschritt, -    der Streitwert der vollumfänglich durchdringenden Beschwerde klein sowie jener des obendrein lediglich zu rund 70 % gewonnenen Rekurses noch geringer war, auch wenn die Auswirkungen über jenen hinausreichen konnten, -    der Sachverhalt nicht kontrovers war -    und die Angelegenheit für den Beschwerdeführer keine überragende Bedeutung aufzuweisen schien. Auch angelehnt an die voraufgehenden Überlegungen rechtfertigt sich, die Parteientschädigung wieder auf Fr. 1'200.- festzusetzen, allerdings die Mehrwertsteuer hierin nicht einzuschliessen, sondern zusätzlich zu gewähren und dergestalt einen um 8 % höheren Betrag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