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VB.2014.00003 vom 5. März 2014</w:t>
      </w:r>
    </w:p>
    <w:p>
      <w:r>
        <w:t>ZH Verwaltungsgericht, 2014-03-05, DE</w:t>
      </w:r>
    </w:p>
    <w:p>
      <w:r>
        <w:rPr>
          <w:b/>
        </w:rPr>
        <w:t xml:space="preserve">Quelle: </w:t>
      </w:r>
      <w:r>
        <w:t>https://mcp.opencaselaw.ch/entscheid/zh_verwaltungsgericht__VB.2014.00003</w:t>
      </w:r>
    </w:p>
    <w:p>
      <w:r>
        <w:t>FR: ZH_VERWALTUNGSGERICHT VB.2014.00003 du 5 mars 2014</w:t>
      </w:r>
    </w:p>
    <w:p>
      <w:r>
        <w:t>IT: ZH_VERWALTUNGSGERICHT VB.2014.00003 del 5 marzo 2014</w:t>
      </w:r>
    </w:p>
    <w:p>
      <w:pPr>
        <w:pStyle w:val="Heading2"/>
      </w:pPr>
      <w:r>
        <w:t>Regeste</w:t>
      </w:r>
    </w:p>
    <w:p>
      <w:r>
        <w:t>Berufsbildung | Entscheide nichtkantonaler Schulen der Berufsbildung unterliegen dem Rekurs an die Bildungsdirektion, soweit es um die Anwendung öffentlichen Rechts geht (E. 2.2). Die Rechtsmittelbelehrung bildet formelles Gültigkeitserfordernis einer Anordnung; fehlt sie, beginnt die Rechtsmittelfrist nicht zu laufen. Auch bei fehlender Rechsmittelbelehrung kann jedoch nicht noch beliebig lange ein Rechtsmittel ergriffen werden. Vorliegend hätte auf den zehn Tage zu spät eingereichten Rekurs aufgrund der fehlenden Rechtsmittelbelehrung und der schweren Erkennbarkeit des Rechtsmittelwegs eingetreten werden müssen (E. 2.3). Die Beschwerdeführerin hat ein aktuelles Rechtsschutzinteresse (E. 2.4). Gutheissung.</w:t>
      </w:r>
    </w:p>
    <w:p>
      <w:pPr>
        <w:pStyle w:val="Heading2"/>
      </w:pPr>
      <w:r>
        <w:t>Erwägungen</w:t>
      </w:r>
    </w:p>
    <w:p>
      <w:r>
        <w:rPr>
          <w:b/>
        </w:rPr>
        <w:t>E. 4</w:t>
      </w:r>
    </w:p>
    <w:p>
      <w:r>
        <w:t>Ausgangsgemäss sind die Gerichtskosten der Beschwerdegegnerin aufzuerlegen (§ 65a Abs. 2 in Verbindung mit § 13 Abs. 2 Satz 1 VRG).</w:t>
      </w:r>
    </w:p>
    <w:p>
      <w:r>
        <w:rPr>
          <w:b/>
        </w:rPr>
        <w:t>E. 5</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 ­ ­punkte streitig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ergriffen, hat dies in der gleichen Rechtsschrift zu geschehen (Art. 119 Abs. 1 BGG). Letztinstanzliche kantonale Rückweisungsentscheide sind als Zwischenentscheide im Sinn von Art. 93 BGG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