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VB.2013.00785 vom 27. Februar 2014</w:t>
      </w:r>
    </w:p>
    <w:p>
      <w:r>
        <w:t>ZH Verwaltungsgericht, 2014-02-27, DE</w:t>
      </w:r>
    </w:p>
    <w:p>
      <w:r>
        <w:rPr>
          <w:b/>
        </w:rPr>
        <w:t xml:space="preserve">Quelle: </w:t>
      </w:r>
      <w:r>
        <w:t>https://mcp.opencaselaw.ch/entscheid/zh_verwaltungsgericht__VB.2013.00785</w:t>
      </w:r>
    </w:p>
    <w:p>
      <w:r>
        <w:t>FR: ZH_VERWALTUNGSGERICHT VB.2013.00785 du 27 février 2014</w:t>
      </w:r>
    </w:p>
    <w:p>
      <w:r>
        <w:t>IT: ZH_VERWALTUNGSGERICHT VB.2013.00785 del 27 febbraio 2014</w:t>
      </w:r>
    </w:p>
    <w:p>
      <w:pPr>
        <w:pStyle w:val="Heading2"/>
      </w:pPr>
      <w:r>
        <w:t>Regeste</w:t>
      </w:r>
    </w:p>
    <w:p>
      <w:r>
        <w:t>Aufenthaltsbewilligung | Nichtverlängerung einer Aufenthaltsbewilligung nach der Trennung. Begriff der erfolgreichen Integration nach Art. 50 Abs. 1 lit. a AuG (E. 2.4). Vorausgesetzt wird ein grundsätzliches Legalverhalten, wobei allfällige Verurteilungen je nach Art des Delikts, Schwere des Verschuldens und Strafmass zu berücksichtigen sind (E. 2.4.2). Der Beitrag des Beschwerdeführers zum Wirtschaftsleben (Aufbau eines Unternehmens mit elf Mitarbeitern) relativiert sich durch die Tatsache, dass er wiederholt gegen arbeitsrechtliche Bestimmungen verstossen und der Schwarzarbeit Vorschub geleistet hat. Kein nachehelicher Härtefall mangels Bezug zur Ehe sowie mangels Schwierigkeiten bei der sozialen Wiedereingliederung im Herkunftsland (E. 2.5). Interessenabwägung nach Art. 8 Ziff. 2 EMRK (Privatleben) fällt zulasten des Beschwerdeführers aus, der im ausserfamiliären und -betrieblichen Bereich keine vertieften sozialen Beziehungen nachweist (E. 3.2). Auf einen Anspruch auf Familienleben infolge Konkubinats kann sich der noch verheiratete Ausländer nicht berufen (E. 4). Verlängerung der Ausreisefrist zwecks Nachfolgeregelung bzw. Liquidation des vom Beschwerdeführer geführten Unternehmens (E. 5). Abweisung.</w:t>
      </w:r>
    </w:p>
    <w:p>
      <w:pPr>
        <w:pStyle w:val="Heading2"/>
      </w:pPr>
      <w:r>
        <w:t>Erwägungen</w:t>
      </w:r>
    </w:p>
    <w:p>
      <w:r>
        <w:rPr>
          <w:b/>
        </w:rPr>
        <w:t>E. 5</w:t>
      </w:r>
    </w:p>
    <w:p>
      <w:r>
        <w:t>Die Beschwerde erweist sich demnach als unbegründet und ist abzuweisen. Die dem Beschwerdeführer vo n der Beschwerdegegner in angesetzte Frist zur Ausreise ist inzwischen verstrichen . Mit der Wegweisungsverfügung ist eine Ausreisefrist zwischen sieben und dreissig Tagen anzusetzen (Art. 64d Abs. 1 AuG). Im Einzelfall ist eine längere Ausreisefrist festzulegen, wenn besondere Umstände vorliegen. Dazu können insbesondere gesundheitliche Probleme, familiäre Gründe oder ein langer Voraufenthalt gehören. Eine angemessene Ausreisefrist soll es dem Betroffenen ermöglichen, seine Ausreise aus der Schweiz und die Ankunft im Herkunftsland vorzubereiten und zu organisieren. Um dem Beschwerdeführer zu ermöglichen, für sein Einzelunternehmen eine geeignete Nachfolgeregelung zu treffen bzw. dieses in geordneter Weise zu liquidieren, rechtfertigt es sich, ihm eine verlängerte Ausreisefrist bis 30. September 2014 anzusetzen.</w:t>
      </w:r>
    </w:p>
    <w:p>
      <w:r>
        <w:rPr>
          <w:b/>
        </w:rPr>
        <w:t>E. 6</w:t>
      </w:r>
    </w:p>
    <w:p>
      <w:r>
        <w:t>Bei diesem Ausgang des Verfahrens sind die Gerichtskosten dem Beschwerdeführer aufzuerlegen (§ 65a Abs. 2 in Verbindung mit § 13 Abs. 2 Satz 1 VRG). Eine Parteientschädigung steht ihm von vornherein nicht zu (§ 17 Abs. 2 lit. a VRG).</w:t>
      </w:r>
    </w:p>
    <w:p>
      <w:r>
        <w:rPr>
          <w:b/>
        </w:rPr>
        <w:t>E. 7</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(Art. 83 lit. c Ziff. 2 BGG; vgl.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