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VB.2013.00623 vom 20. März 2014</w:t>
      </w:r>
    </w:p>
    <w:p>
      <w:r>
        <w:t>ZH Verwaltungsgericht, 2014-03-20, DE</w:t>
      </w:r>
    </w:p>
    <w:p>
      <w:r>
        <w:rPr>
          <w:b/>
        </w:rPr>
        <w:t xml:space="preserve">Quelle: </w:t>
      </w:r>
      <w:r>
        <w:t>https://mcp.opencaselaw.ch/entscheid/zh_verwaltungsgericht__VB.2013.00623</w:t>
      </w:r>
    </w:p>
    <w:p>
      <w:r>
        <w:t>FR: ZH_VERWALTUNGSGERICHT VB.2013.00623 du 20 mars 2014</w:t>
      </w:r>
    </w:p>
    <w:p>
      <w:r>
        <w:t>IT: ZH_VERWALTUNGSGERICHT VB.2013.00623 del 20 marzo 2014</w:t>
      </w:r>
    </w:p>
    <w:p>
      <w:pPr>
        <w:pStyle w:val="Heading2"/>
      </w:pPr>
      <w:r>
        <w:t>Regeste</w:t>
      </w:r>
    </w:p>
    <w:p>
      <w:r>
        <w:t>Baubewilligung | Baubewilligung für ein herrschaftliches Einfamilienhaus: Besondere Gebäude, Mehrlängenzuschlag, Einordnung. Bei der architektonischen Selbständigkeit ist nicht nur massgebend, ob der betreffende Annexbau in seiner äusseren Erscheinung (räumliche Absetzung, Fassadengestaltung, Dachform bzw. -nutzung) von einem aussenstehenden Betrachter als eigenständiger Gebäudeteil wahrgenommen würde. Ebenso entscheidend ist, ob er bei einer Gesamtbetrachtung des Bauvorhabens noch als Besonderes Gebäude gewertet werden kann, was sich erst aus dem Zusammenspiel mit dem Hauptgebäude als Bezugsobjekt ergibt (E 3.3.1). Auslegung einer kommunalen Berechnungsvorschrift zur massgeblichen Fassadenlänge von nah beieinander liegenden Gebäuden beim Mehrlängenzuschlag (E. 4). Die Kognitionsunterschreitung durch das Baurerkursgericht hinsichtlich § 238 PBG (E. 5.4) führt zur Rückweisung der Angelegenheit (E. 5.5.1). Kognition des Baurekursgerichts bei fehlenden Ausführungen der Gemeinde zu einer kommunaler Dachgestaltungsvorschrift (E. 5.6). Teilweise Gutheissung und Rückweisung.</w:t>
      </w:r>
    </w:p>
    <w:p>
      <w:pPr>
        <w:pStyle w:val="Heading2"/>
      </w:pPr>
      <w:r>
        <w:t>Erwägungen</w:t>
      </w:r>
    </w:p>
    <w:p>
      <w:r>
        <w:rPr>
          <w:b/>
        </w:rPr>
        <w:t>E. 1</w:t>
      </w:r>
    </w:p>
    <w:p>
      <w:r>
        <w:t>Der Beschwerdeführer beantragt die Durchführung eines Augenscheins. Der Entscheid, ob ein Augenschein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vor Ort Wesentliches zur Erhellung der sachlichen Grundlagen des Rechtsstreits beizutragen ( RB 1995 Nr. 12 = BEZ 1995 Nr. 32 mit Hinweisen). Die auf einem Augenschein beruhenden Feststellungen der Vorinstanz können auch im Beschwerdeverfahren berücksichtigt werden (RB 1981 Nr. 2). Am 20. Juni 2013 nahm das Baurekursgericht auf dem Lokal einen Delegationsaugenschein vor, nachdem es im Hinblick auf das Vorgängerprojekt bereits am</w:t>
      </w:r>
    </w:p>
    <w:p>
      <w:r>
        <w:rPr>
          <w:b/>
        </w:rPr>
        <w:t>E. 4</w:t>
      </w:r>
    </w:p>
    <w:p>
      <w:r>
        <w:t>Juli 2011 einen Abteilungsaugenschein durchgeführt hatte. Da sich der massgebliche Sachverhalt aufgrund des entsprechenden Protokolls, der übrigen Akten und der Pläne mit ausreichender Deutlichkeit ergibt, besteht kein Anlass für die Durchführung eines verwaltungsgerichtlichen Augen­scheins. 2. Der Beschwerdegegner 1 plant auf dem der Wohnzone W2/1.40 gemäss Art. 19 Bau- und Zonenordnung der Gemeinde Küsnacht 1994/2004 /2012 (BZO) zugeteilten Grundstück Kat.-Nr. 02 den Abbruch des bestehenden Mehrfamilienhauses Assek.-Nr. 01 und die Errichtung eines Einfamilienhauses mit einer Doppelgarage, einem Schwimmbad und einer umfassenden Einfriedung in Form einer Stützmauer. Projektiert ist ein insgesamt 25 m langes Hauptgebäude, das sich aus einem Mittelbau (zwei Vollgeschosse und ein anrechenbares Dachgeschoss) und einem eingeschossigen nordwestseitigen Flügel ( " Küchentrakt " mit Dachterrasse) zusammensetzt. An Letzteren schliesst sich ein dreiseitig eingewandeter und als Erweiterung des Sitzplatzes dienender Anbau von 4,5 m Länge an. Dieser weist eine um 0,35 m tiefere Höhe und eine gegenüber dem "Küchentrakt" um 0,8 m zurückversetzte strassenseitige Flucht auf. Auf der Südostseite des Hauptgebäudes soll eine ebenfalls um 0,8 m zurückversetzte, 11 m lange Garage angebaut werden. Beim streitbetroffenen Projekt handelt es sich um die überarbeitete Version eines ähnlichen Bauvorhabens der nämlichen Bauherrschaft. Die dafür erteilte Baubewilligung vom 8. Februar 2011 hob das Verwaltungsgericht mit Entscheid VB.2011.00648/00681 vom 13. Juni 2012 auf, weil die beiden Gebäudeflügel nicht als Besondere Gebäude qualifiziert werden konnten, sodass im Ergebnis verschiedene Bauvorschriften missachtet wurden (bestätigt in BGr, 6. Februar 2013, 1C_41</w:t>
      </w:r>
    </w:p>
    <w:p>
      <w:r>
        <w:rPr>
          <w:b/>
        </w:rPr>
        <w:t>E. 4.1</w:t>
      </w:r>
    </w:p>
    <w:p>
      <w:r>
        <w:t>Gemäss Art. 19 BZO ist in der Wohnzone W2/1.40 ein Grundgrenzabstand von 7 m einzuhalten. Art. 21a Abs. 2 BZO sieht dabei für die betreffende Zone einen Mehrlängenzuschlag im Sinn von §§ 23 ff. ABV um die Hälfte der Mehrlänge vor, sofern die Fassadenlänge mehr als 25 m beträgt. Ferner enthält Art. 21a Abs. 3 BZO eine Berechnungsvorschrift zur massgeblichen Fassadenlänge: "Bei der Berechnung der für die Mehrlängenzuschläge massgeblichen Fassadenlängen werden die Fassadenlängen von Gebäuden, deren Gebäudeabstand 10.00 m unterschreitet, zusammengerechnet." Fraglich ist, ob Besondere Gebäude und damit auch das Garagengebäude sowie die "Sitzplatzerweiterung" von der zitierten Vorschrift erfasst werden, womit der Grenzabstand zu den südwestlichen Nachbargrundstücken offensichtlich überschritten würde. Nach Ansicht der Beschwerdegegnerschaft bezieht sich Art. 21a Abs. 2 BZO nicht auf § 25 ABV, sondern bildet eine abweichende Regelung im Sinn von § 27 Abs. 2 ABV, wonach d ie Bau- und Zonenordnung bestimmen kann, dass die für den Mehrlängenzuschlag massgeblichen Fassadenlängen von benachbarten Hauptgebäude n zusammengerechnet werden, wenn der Gebäudeabstand ein bestimmtes Mass unterschreitet.</w:t>
      </w:r>
    </w:p>
    <w:p>
      <w:r>
        <w:rPr>
          <w:b/>
        </w:rPr>
        <w:t>E. 4.2</w:t>
      </w:r>
    </w:p>
    <w:p>
      <w:r>
        <w:t>Ausgangspunkt jeder Auslegung bildet der Wortlaut der Bestimmung. Ist der Text nicht ganz klar und sind verschiedene Interpretationen möglich, so muss nach seiner wahren Tragweite gesucht werden unter Berücksichtigung aller Auslegungselemente (BGE 131 II 697 E. 4, mit Hinweisen und auch zum Folgenden). Abzustellen ist dabei namentlich auf die Entstehungsgeschichte der Norm und ihren Zweck sowie auf die Bedeutung, die der Norm im Zusammenhang mit anderen Bestimmungen zukommt. Die Gesetzesmaterialien dienen besonders bei neueren Texten als Hilfsmittel, um den Sinn der Norm zu erkennen (BGE 130 II 202 E. 5.1). Das Bundesgericht sowie auch das Verwaltungsgericht haben sich bei der Auslegung von Erlassen stets von einem Methodenpluralismus leiten lassen und nur dann allein auf das grammatische Element abgestellt, wenn sich daraus zweifelsfrei die sachlich richtige Lösung ergab (BGE 124 II 372 E. 5 mit Hinweisen).</w:t>
      </w:r>
    </w:p>
    <w:p>
      <w:r>
        <w:rPr>
          <w:b/>
        </w:rPr>
        <w:t>E. 4.3</w:t>
      </w:r>
    </w:p>
    <w:p>
      <w:r>
        <w:t>Art. 21a Abs. 3 BZO spricht lediglich von "Gebäuden", ohne zu präzisieren, ob nur Hauptgebäude oder auch Besondere Gebäuden von der Zusammenrechnung betroffen sind. Demgegenüber hält die Wegleitung zur Bau- und Zonenordnung 1994 mit Teilrevision 2004 auf S. 24 als Erläuterung ausdrücklich fest, dass Besondere Gebäude bei der Berechnung der Fassadenlänge und damit des Mehrlängenzuschlags ausser Betracht fallen. Darüber hinaus legt die offenbar an den Wortlaut von § 27 Abs. 2 ABV angelehnte Formulierung ("für die Mehrlängenzuschläge massgeblichen Fassadenlängen") nahe, dass sich Art. 21a Abs. 3 BZO auf die genannte Bestimmung und nicht auf § 25 ABV bezieht. Gemäss letzterer Vorschrift fallen Besondere Gebäude im Sinn von § 49 Abs. 3 PBG bei der Berechnung des Mehrlängenzuschlags ausser Betracht, sofern die Bau- und Zonenordnung nicht etwas anderes bestimmt. Nachdem Besondere Gebäude mangels anderer Regelung in der Bau- und Zonenordnung für den Mehrlängenzuschlag nicht zu berücksichtigen sind, hätte sie der kommunale Gesetzgeber der Zusammenrechnung aller Voraussicht nach explizit unterstellt, falls er von der gesetzgeberischen Grundkonzeption hätte abweichen wollen. Die Gesetzessystematik wie auch die Materialien sprechen somit dafür, Art. 21a Abs. 3 BZO nur auf Hauptgebäude anzuwenden.</w:t>
      </w:r>
    </w:p>
    <w:p>
      <w:r>
        <w:rPr>
          <w:b/>
        </w:rPr>
        <w:t>E. 4.4</w:t>
      </w:r>
    </w:p>
    <w:p>
      <w:r>
        <w:t>Zu prüfen bleibt, ob dem Mehrlängenzuschlag nach Art. 21a Abs. 2 BZO noch ein sinnvoller Anwendungsbereich verbleibt, wenn lediglich die Fassadenlängen von Haupt gebäuden, deren Abstand 10 m unterschreitet, zu addieren sind. Richtig bemerkt der Beschwerdeführer, dass die Bestimmung gemäss Wegleitung, S. 24, nur für die zweigeschossigen Wohnzonen gilt, in denen Hauptgebäude nur eine Gebäudelänge von höchstens 25 m aufweisen dürfen (vgl. Art. 19 BZO). Damit dürfte sich der Anwendungsbereich von Art. 21a Abs. 2 BZO von vornherein auf Situationen beschränken, in denen mehrere benachbarte Gebäude betroffen sind, zumal der Mehrlängenzuschlag erst ab einer Fassadenlänge von 25 m zum Zug kommt. Demgegenüber erweist sich die beschwerdeführerische Interpretation des Urteils VB.2009.000659 vom 16. Juni 2010 (= BEZ 2010 Nr. 30), wonach weniger als 10 m voneinander entfernte Hauptgebäude (in jedem Fall) auch zur Ermittlung der höchstzulässigen Gebäude länge zusammenzurechnen seien, als unzutreffend.</w:t>
      </w:r>
    </w:p>
    <w:p>
      <w:r>
        <w:rPr>
          <w:b/>
        </w:rPr>
        <w:t>E. 4.4.1</w:t>
      </w:r>
    </w:p>
    <w:p>
      <w:r>
        <w:t>Das Verwaltungsgericht erblickte im zitierten Urteil aufgrund der für die geschlossene Bauweise zwingend zu statuierenden Gebäudegesamtlänge und der Tatsache, dass diese nicht durch private Näherbaurechtsvereinbarungen abänderbar sei, eine Regelungslücke im Hinblick auf die Zusammenrechnung von Gebäuden, die den kantonalen Mindestgebäudeabstand von 7 m unterschreiten. Aus Rücksicht auf die abweichende Rechtswirklichkeit nahm es allerdings nur mit Zurückhaltung eine Lückenfüllung vor: Bestimme die kommunale Bau- und Zonenordnung in Anwendung von § 27 Abs. 2 ABV hinsichtlich des Mehrlängenzuschlags eine Zusammenrechnung der Fassadenlänge, wenn der Gebäudeabstand ein bestimmtes Mass unterschreite, könne davon ausgegangen werden, dass der (kommunale) Gesetzgeber das gleiche Mass für die Zusammenrechnung von Gebäuden bei Ermittlung der Gebäudelänge bestimmt hätte.</w:t>
      </w:r>
    </w:p>
    <w:p>
      <w:r>
        <w:rPr>
          <w:b/>
        </w:rPr>
        <w:t>E. 4.4.2</w:t>
      </w:r>
    </w:p>
    <w:p>
      <w:r>
        <w:t>Diese Schlussfolgerung erscheint in der vorliegenden Situation schon deswegen nicht angebracht, weil die Wegleitung zur BZO auf S. 32 – im Unterscheid zur damals beurteilten Bau- und Zonenordnung von Affoltern am Albis – die geschlossene Überbauung explizit als einseitig oder mehrseitige zusammengebaute oder an die Grenze gestellte Gebäude definiert, womit eine planwidrige Unvollständigkeit im Hinblick auf lediglich nah beieinander liegende Gebäude auszuschliessen ist. Diese sind in der Gemeinde Küsnacht hinsichtlich der Gebäudelänge folglich nicht in einer Weise zu behandeln, als wären sie in geschlossener Bauweise erstellt worden. Die Gebäudelängen sind deshalb auch dann nicht zu addieren, wenn der Abstand zwischen den Gebäuden weniger als 10 m beträgt.</w:t>
      </w:r>
    </w:p>
    <w:p>
      <w:r>
        <w:rPr>
          <w:b/>
        </w:rPr>
        <w:t>E. 4.4.3</w:t>
      </w:r>
    </w:p>
    <w:p>
      <w:r>
        <w:t>Damit verbleibt für den Mehrlängenzuschlag nach Art. 21a Abs. 2 und 3 BZO, der bei benachbarten Gebäuden, die für sich genommen nicht erfasst wären, erst bei Unterschreitung eines gegenseitigen Abstands von 10 m eingreift, ein eigenständiger Anwendungsbereich. Auch der Normzweck legt insofern keine Anwendung der Vorschrift auf Besondere Gebäude nahe.</w:t>
      </w:r>
    </w:p>
    <w:p>
      <w:r>
        <w:rPr>
          <w:b/>
        </w:rPr>
        <w:t>E. 4.5</w:t>
      </w:r>
    </w:p>
    <w:p>
      <w:r>
        <w:t>Wie in E. 6.3 des Rekursentscheids zutreffend festgehalten, sind die Sitzplatzerweiterung und die Garage für die Berechnung der für den Mehrlängenzuschlag massgeblichen Fassadenlänge demnach nicht zu berücksichtigen, weshalb ein Mehrlängenzuschlag für das Bauvorhaben entfällt. Die Rüge der Grenzabstandsverletzung erweist sich daher als unbegründet. 5. Schliesslich moniert der Beschwerdeführer, das Bauvorhaben ordne sich nicht befriedigend in seine bauliche Umgebung ein. Die aus Versatzstücken des Villenbaus des 19. und des frühen 20. Jahrhunderts bestehende Gebäudeanlage weise keinerlei Bezug zum vorhandenen Bebauungsbild des Quartiers auf. Es handle sich um eine kulissenhafte Abbildung einer persönlichen Idealvorstellung einer "Villa". Das im Quartier vorhandene Grundmuster, welches Ein- und Durchblicke aus dem öffentlichen Raum in die Gärten erlaube, werde durch die Aufreihung der Neubauten entlang des F-Wegs nicht weitergeführt. Die Vorinstanz berufe sich zu Unrecht auf den erheblichen Beurteilungs- und Ermessensspielraum der örtlichen Baubehörde bei der Anwendung von § 238 Abs. 1 PBG bzw. Art. 22 BZO und unterschreite damit die ihr zukommende Kognition. 5.1 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 238 Abs. 1 PBG stellt eine positive ästhetische Generalklausel dar, die nicht bloss eine Verunstaltung verbietet, sondern eine positive Gestaltung verlangt (BGr, 16. Mai 2008, 1C_346/2007, E. 3.3.1; VGr, 6. Oktober 2010, VB.2009.00604, E. 5.3). Die Beurteilung, ob mit einem Bauvorhaben eine befriedigende Gesamtwirkung erreicht wird, hat nicht nach subjektivem Empfinden, sondern nach objektiven Massstäben und mit nachvollziehbarer Begründung zu erfolgen (BGr, 28. Oktober 2002, 1P.280/2002, E. 3.5.2; VGr, 18. Juni 1997, BEZ 1997 Nr. 23 E. 4b/aa). Dabei ist eine umfassende Würdigung aller massgebenden Gesichtspunkte vorzunehmen (VGr, 2. März 2000, BEZ 2000 Nr. 17 E. 5 und 6b). 5.2 Nach der langjährigen Rechtsprechung des Verwaltungsgerichts steht der Gemeinde aufgrund der ihr durch Art. 85 Abs. 1 KV eingeräumten Autonomie bei der Anwendung des kantonalrechtlichen unbestimmten Gesetzesbegriffs "befriedigende Gesamtwirkung" ein besonderer bzw. qualifizierter Beurteilungsspielraum zu, was auch mit relativ erheblicher Entscheidungsfreiheit umschrieben wurde (VGr, 30. Juni 2010, VB.2010.00127, E. 4.2 mit Hinweisen; Alfred Kölz/Jürg Bosshart/Martin Röhl, Kommentar zum Verwaltungsrechtspflegegesetz des Kantons Zürich, 2. A., Zürich 1999 , § 20 N. 19). Die Entwicklung von Grundsätzen, wie dieser Handlungsspielraum zu füllen ist, fällt jedenfalls grundsätzlich in die Kompetenz der kantonalen (Rechtsmittel-)Instan­zen: Im Zusammenhang mit der Anwendung von § 238 PBG ist dabei von einer "allgemeinen Konkretisierung" der ästhetischen Generalklausel die Rede (vgl. Arnold Marti, Bemerkungen zum Entscheid des Bundesgerichts vom 21. Juni 2005, ZBl 107/2006, S. 437 ff.). Darunter werden die von der Rechtsprechung entwickelten Regeln verstanden, wie diejenige, dass mit der Einordnungsbestimmung in der Regel nicht die Übernahme von in der baulichen Umgebung bereits vorhandenen Bauformen verlangt werden kann, oder dass § 238 PBG grundsätzlich keine Handhabe bietet, die Ausschöpfung der nach der Bau- und Zonenordnung zulässigen Baumöglichkeiten zu untersagen, wenn die in der Umgebung bestehenden Bauten diese nicht voll ausschöpfen (vgl. Fritzsche/Bösch/Wipf, S. 652 ff.). Demgegenüber obliegt es den Gemeinden, § 238 PBG und die darin verwendeten offenen Formulierungen ortsbezogen zu konkretisieren (VGr, 17. Dezember 2013, VB.2013.00468, E. 4.2.2, auch zum Folgenden). Mit der Begründung ihres Entscheids berücksichtigt die kommunale Baubehörde die für die Beurteilung relevante bauliche Umgebung und führt die Gesichtspunkte an, an denen sie die Einordnung des Bauprojekts misst. 5.3 5.3.1 Aufgrund des Wortlauts von § 20 Abs. 1 VRG ist das Baurekursgericht nicht nur zur Überprüfung der Rechtmässigkeit, sondern auch der Angemessenheit kommunaler Entscheide befugt. Nach der früheren Rechtsprechung hatte sich die Rekursinstanz bei der Überprüfung kommunaler Einordnungsentscheide aufgrund der verfassungsrechtlichen garantierten Gemeindeautonomie Zurückhaltung aufzuerlegen (vgl. VGr, 30. Juni 2010, VB.2010.00127, E. 4.2). Das Baurekursgericht schritt praxisgemäss erst ein, wenn die ästhetische Würdigung der Baubehörde sachlich nicht mehr vertretbar war bzw. wenn sich die vorinstanzliche Ermessensausübung als offensichtlich unvertretbar erwies. 5.3.2 Mit dem Urteil VB.2013.00468 vom 17. Dezember 2013 leitete das Verwaltungsgericht eine Praxisänderung ein, wonach zwischen der Gemeindeautonomie und dem verfassungsmässigen Anspruch auf Ausschöpfung der Überprüfungsbefugnis im Sinn eines möglichst schonenden Ausgleichs der verschiedenen Verfassungs- und Grundrechtsinteressen praktische Konkordanz herzustellen sei. Eine im Baurekursverfahren generell erhöhte gerichtliche Eingriffsschwelle bzw. eine blosse Überprüfung der Vertretbarkeit des Einordnungsentscheids vermag diesen Voraussetzungen nicht zu genügen. Denn das Baurekursgericht ist, wie jede Rechtsmittelinstanz, nicht nur berechtigt, sondern grundsätzlich auch verpflichtet, seine gesetzlich festgelegte Überprüfungsbefugnis voll auszuschöpfen (VGr, 8. Februar 2006, VB.2005.00515, E. 2). Das Baurekursgericht muss den Einordnungsentscheid demnach rechtlich wie faktisch wirksam überprüfen. Es ist in seiner Angemessenheitskontrolle jedoch insofern beschränkt, als es die Einordnung des Bauvorhabens nicht völlig frei und unbesehen des angefochtenen Bauentscheids würdigen darf. Vielmehr muss die Überprüfung unter gebührender Berücksichtigung der Entscheidgründe erfolgen. Das Baurekursgericht hat sich dabei mit den Kriterien auseinanderzusetzen, wie sie von der Baubehörde im Rahmen der ortsbezogenen Konkretisierung der Einordnungsvorschrift entwickelt wurden. 5.4 In E. 10.2.1 Abs. 3 des Rekursentscheids hielt das Baurekursgericht in Übereinstimmung mit der früheren Gerichtspraxis zu seiner eigenen Kognition fest, dass es eine noch vertretbare Wertung der Gemeinde nicht durch eine andere Wertung ersetze und dann eingreife, wenn die Unhaltbarkeit des vorinstanzlichen Entscheids offensichtlich sei. Im Folgenden ging das Gericht davon aus, dass es die von ihm als vertretbar erachtete Begründung der Beschwerdegegnerin 2 zu respektieren habe (vgl. E. 10.4 des Rekursentscheids). Darin liegt nach dem Gesagten eine unzulässige Kognitionsunterschreitung und ein Verstoss gegen § 20 Abs. 1 VRG sowie Art. 29 Abs. 1 der Bundesverfassung vom 18. Juni 1999 (vgl. VGr, 17. Dezember 2013, VB.2013.00468, E. 4.4) . Der Rekursentscheid erweist sich insofern als rechtsfehlerhaft und ist aufzuheben (§ 50 Abs. 1 in Verbindung mit § 20 Abs. 1 lit. a VRG). 5.5 Es stellt sich die Frage, ob das Verwaltungsgericht im Sinn von § 63 Abs. 1 VRG selbst entscheiden oder die Sache im Sinn von § 64 Abs. 1 VRG zur Neubeurteilung an die Vorinstanz zurückweisen soll. 5.5.1 Die Kognition des Verwaltungsgerichts beschränkt sich grundsätzlich auf eine Rechts- und Sachverhaltskontrolle; die Rüge der Unangemessenheit ist in der Regel nicht zulässig (§ 50 VRG). Diese Kognition unterscheidet sich in massgeblicher Weise von derjenigen des Baurekursgerichts, das die umstrittene Einordnung des Bauprojekts nach § 238 Abs. 1 PBG auf Angemessenheit hin beurteilen kann und muss. Die Nichtausschöpfung einer gegenüber der verwaltungsgerichtlichen Überprüfungsbefugnis weiter gehenden Kognition durch die Vorinstanz führt deshalb grundsätzlich zu einer Rückweisung der Sache (vgl. VGr, 6. März 2014, VB.2013.00644, E. 3). Zwar kann es sich bei klarer Sachlage aus prozessökonomischen Gründen aufdrängen, dass das Verwaltungsgericht mit der gleichen Überprüfungsbefugnis über die Einordnung entscheidet, wie sie der Vorinstanz zugestanden hätte (vgl. VGr, 23. Januar 2014, VB.2013.00589, E. 4.4). Zumindest in Grenzfällen, in denen die ausgeübte Kognition ergebnisrelevant sein kann, muss es jedoch bei einer Rückweisung an das Baurekursgericht als Fachgericht sein Bewenden haben. 5.5.2 Das Baurekursgericht setzte sich in E. 10.4 des Rekursentscheids mit dem Einfluss nicht alltäglicher Gestaltungselemente und eines neueren architektonischen Zeitgeistes auf das streitbetroffene Quartier auseinander und erachtete sich im Rahmen der Vertretbarkeitskontrolle an diese von der Gemeinde offenbar bewusst ermöglichte Entwicklung gebunden. Es ist nicht auszuschliessen, dass die Vorinstanz bei Ausschöpfung ihrer Kognition anders urteilen würde. Die Sache ist demnach in teilweiser Gutheissung der Beschwerde zu neuem Entscheid an das Baurekursgericht zurückzuweisen. Dieses wird mit der in E. 5.3.2 umschriebenen Kognition zu überprüfen haben, ob das geplante Einfamilienhaus den Anforderungen von § 238 Abs. 1 PBG entspricht. Ob das Baurekursgericht in Anbetracht der beschwerdeführerischen Argumentation, wonach der örtlichen Baubehörde in Einordnungsfragen kein Ermessensspielraum zustehe, seiner Begründungspflicht nachgekommen ist, kann damit offenbleiben. 5.6 Die Rückweisung der Angelegenheit an die Vorinstanz drängt sich noch aus einem weiteren Grund auf. 5.6.1 Der Beschwerdeführer rügte in seinem Rekurs vom 28. Januar 2013, Ziff. II.4c, einen Verstoss gegen die gestalterischen Anforderungen von Art. 22 Abs. 1 und Abs. 4 Sätze 1 und 3 BZO durch die geplanten Dachaufbauten bzw. Lukarnen. Dazu hielt die Vorinstanz – wie bereits in E. 11.7 ihres Rekursentscheids vom 19. September 2011 zum Vorgängerprojekt – lediglich fest, dass es sich bei den in Art. 22 BZO definierten Dachgestaltungsvorschriften um kompetenzgemäss erlassenes kommunales Recht handle, bei dessen Anwendung ihr ein erheblicher Beurteilungs- und Ermessensspielraum zustehe und sie sich entsprechend Zurückhaltung auferlege. Eine inhaltliche Auseinandersetzung mit den Einwänden des Beschwerdeführers erfolgte nicht. 5.6.2 Unabhängig von ihrer mangelhaften Begründung erweist sich die vorinstanzliche Erwägung als unzutreffend. Denn die Gemeinde kann sich nur dann auf ihren geschützten Beurteilungsspielraum berufen, wenn sie davon auch tatsächlich Gebrauch macht und in pflichtgemässer Abwägung aller in der Sache erheblichen Interessen und Argumente entscheidet (VGr, 21. November 2012, VB.2012.00365, E. 3.1, auch zum Folgenden). Durch eine ausreichende Begründung ist dieses Abwägen der massgeblichen Elemente in nachvollziehbarer Weise zu belegen. Fehlt eine solche Begründung der angefochtenen Anordnung, so kann sich die kommunale Behörde nicht auf ihren besonderen Beurteilungsspielraum berufen und das Baurekursgericht ist nicht nur berechtigt, sondern auch ver­pflichtet, die Einordnung des Bauvorhabens uneingeschränkt zu prüfen (RB 1991 Nr. 2 mit Hinweisen; Pierre Tschannen/Ulrich Zimmerli/Markus Müller, Allgemeines Verwaltungsrecht, 3. A., Bern 2009, § 26 Rz. 38–40). 5.6.3 Der streitbetroffene Beschluss der Beschwerdegegnerin vom 11. Dezember 2012 enthält, ebenso wie die ursprüngliche Baubewilligung vom 8. Februar 2011, keinerlei Ausführungen zur Vereinbarkeit der geplanten Dachgestaltung mit Art. 22 Abs. 1 und Abs. 4 BZO. Auch in ihrer Rekursvernehmlassung vom 28. März 2013 ging die Beschwerdegegnerin auf die Einhaltung der betreffenden Gestaltungsvorschriften nicht konkret ein, sondern begnügte  sich mit allgemeinen Ausführungen zur Dachgestaltung (vgl. auch die Rekursvernehmlassung vom 26. Mai 2011 zum Vorgängerprojekt). Unter diesen Umständen wäre das Baurekursgericht nach dem Gesagten verpflichtet gewesen, das Bauvorhaben mit Bezug auf Art. 22 BZO unter Einsatz seiner uneingeschränkten Kognition zu überprüfen. Dies wird das Gericht in seinem neuen Entscheid nachzuholen haben. 6. Demnach ist die Beschwerde teilweise gutzuheissen und die Sache im Sinn der Erwägungen an das Baurekursgericht zurückzuweisen. Da der Beschwerdeführer mit seinem Antrag nur teilweise durchdringt, rechtfertigt es sich, ihm die Gerichtskosten zur Hälfte und der Beschwerdegegnerschaft je zu einem Viertel aufzuerlegen (§ 13 Abs. 2 VRG; vgl. Kaspar Plüss, in: Alain Griffel [Hrsg.], Kommentar VRG, 3. A., Zürich etc. 2014, § 13 N. 53). Über die Verlegung der Rekurskosten wird das Baurekursgericht im neuen Rechtsgang zu entscheiden haben. Parteientschädigungen sind bei diesem Ausgang des Verfahrens keine zuzusprechen.</w:t>
      </w:r>
    </w:p>
    <w:p>
      <w:r>
        <w:rPr>
          <w:b/>
        </w:rPr>
        <w:t>E. 7</w:t>
      </w:r>
    </w:p>
    <w:p>
      <w:r>
        <w:t>Im Rahmen der Rechtsmittelbelehrung ist darauf hinzuweisen, dass ein Rückweisungsentscheid nach der Rechtsprechung des Bundesgerichts einen Zwischen ­ entscheid darstellt, der nur angefochten werden kann, wenn die Voraussetzungen von Art. 93 des Bundesgerichtsgesetzes vom 17. Juni 2005 erfüllt sind (BGE 133 II 409 E. 1.2, S. 402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