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VB.2013.00571 vom 30. Januar 2014</w:t>
      </w:r>
    </w:p>
    <w:p>
      <w:r>
        <w:t>ZH Verwaltungsgericht, 2014-01-30, DE</w:t>
      </w:r>
    </w:p>
    <w:p>
      <w:r>
        <w:rPr>
          <w:b/>
        </w:rPr>
        <w:t xml:space="preserve">Quelle: </w:t>
      </w:r>
      <w:r>
        <w:t>https://mcp.opencaselaw.ch/entscheid/zh_verwaltungsgericht__VB.2013.00571</w:t>
      </w:r>
    </w:p>
    <w:p>
      <w:r>
        <w:t>FR: ZH_VERWALTUNGSGERICHT VB.2013.00571 du 30 janvier 2014</w:t>
      </w:r>
    </w:p>
    <w:p>
      <w:r>
        <w:t>IT: ZH_VERWALTUNGSGERICHT VB.2013.00571 del 30 gennaio 2014</w:t>
      </w:r>
    </w:p>
    <w:p>
      <w:pPr>
        <w:pStyle w:val="Heading2"/>
      </w:pPr>
      <w:r>
        <w:t>Regeste</w:t>
      </w:r>
    </w:p>
    <w:p>
      <w:r>
        <w:t>Kostenübernahme für Fremdplatzierung | [Die Betreiberin eines ausserkantonalen Jugendheims forderte die Bezahlung der Versorgertaxe für die Unterbringung eines Kindes mit Wohnsitz in der beschwerdegnerischen Gemeinde.] Nach der bis Ende 2007 in Kraft befindlichen Interkantonalen Heimvereinbarung trägt der Wohnsitzkanton die Nettotageskosten für in einem Heim ausserhalb des Kantons Untergebrachte, abzüglich eines den Eltern zu belastenden Kostgelds. Nach § 9b JugendheimeG sind diese Beiträge vom "Staat" zu tragen und gelten nicht als öffentliche Unterstützung. Die in der Praxis vorgenommene Unterscheidung in eine von den Gemeinden zu zahlende Versorgertaxe und die vom Kanton zu übernehmenden Resttageskosten ist gesetzlich nicht vorgesehen (E. 2.2 f.). Der Begriff "Staat" in § 9b JugenheimeG ist so auszulegen, dass damit der Kanton Zürich gemeint ist; eine Verpflichtung der Gemeinden, einen Teil der kantonalen Beiträge an eine Heimeinweisung zu übernehmen, lässt sich dem Jugendheimegesetz nicht entnehmen (E. 2.4). Abweisung.</w:t>
      </w:r>
    </w:p>
    <w:p>
      <w:pPr>
        <w:pStyle w:val="Heading2"/>
      </w:pPr>
      <w:r>
        <w:t>Erwägungen</w:t>
      </w:r>
    </w:p>
    <w:p>
      <w:r>
        <w:rPr>
          <w:b/>
        </w:rPr>
        <w:t>E. 3</w:t>
      </w:r>
    </w:p>
    <w:p>
      <w:r>
        <w:t>Nach dem Gesagten ist die Beschwerde abzuweisen.</w:t>
      </w:r>
    </w:p>
    <w:p>
      <w:r>
        <w:rPr>
          <w:b/>
        </w:rPr>
        <w:t>E. 4</w:t>
      </w:r>
    </w:p>
    <w:p>
      <w:r>
        <w:t>Ausgangsgemäss sind die Gerichtskosten der Beschwerdeführerin aufzuerlegen und kann diese keine Parteientschädigung erhalten (§ 65a Abs. 2 in Verbindung mit § 13 Abs. 2 Satz 1 VRG; § 17 Abs. 2 VRG). Die Beschwerdegegnerin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Alfred Kölz/Jürg Bosshart/Martin Röhl, Kommentar zum Verwaltungsrechtspflegegesetz des Kantons Zürich, 2. A., Zürich 1999, § 17 N. 19 f., auch zum Folgenden). Behörden kleinerer Gemeinden sind allerdings häufig nicht in der Lage, Rechtsmittelverfahren ohne Hilfe eines rechtskundigen Vertreters zu führen. Ziehen solche Gemeinden einen Rechtsvertreter bei, rechtfertigt sich deshalb regelmässig, ihnen eine angemessene Parteientschädigung zuzusprechen. Bei der Beschwerdegegnerin handelt es sich um eine kleinere Gemeinde. Im vorliegenden Verfahren stellen sich zudem Rechtsfragen, deren Schwierigkeit den Beizug einer Rechtsvertretung rechtfertigt. Der Beschwerdegegnerin ist für das Beschwerdeverfahren deshalb eine Parteientschädigung von Fr. 3'000.-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