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VB.2013.00456 vom 12. Februar 2014</w:t>
      </w:r>
    </w:p>
    <w:p>
      <w:r>
        <w:t>ZH Verwaltungsgericht, 2014-02-12, DE</w:t>
      </w:r>
    </w:p>
    <w:p>
      <w:r>
        <w:rPr>
          <w:b/>
        </w:rPr>
        <w:t xml:space="preserve">Quelle: </w:t>
      </w:r>
      <w:r>
        <w:t>https://mcp.opencaselaw.ch/entscheid/zh_verwaltungsgericht__VB.2013.00456</w:t>
      </w:r>
    </w:p>
    <w:p>
      <w:r>
        <w:t>FR: ZH_VERWALTUNGSGERICHT VB.2013.00456 du 12 février 2014</w:t>
      </w:r>
    </w:p>
    <w:p>
      <w:r>
        <w:t>IT: ZH_VERWALTUNGSGERICHT VB.2013.00456 del 12 febbraio 2014</w:t>
      </w:r>
    </w:p>
    <w:p>
      <w:pPr>
        <w:pStyle w:val="Heading2"/>
      </w:pPr>
      <w:r>
        <w:t>Regeste</w:t>
      </w:r>
    </w:p>
    <w:p>
      <w:r>
        <w:t>Aufenthaltsbewilligung EU/EFTA | Die Bfin hat die Frist zur Einreichung der Beschwerde nicht eingehalten. Nichteintreten.</w:t>
      </w:r>
    </w:p>
    <w:p>
      <w:pPr>
        <w:pStyle w:val="Heading2"/>
      </w:pPr>
      <w:r>
        <w:t>Erwägungen</w:t>
      </w:r>
    </w:p>
    <w:p>
      <w:r>
        <w:rPr>
          <w:b/>
        </w:rPr>
        <w:t>E. 2</w:t>
      </w:r>
    </w:p>
    <w:p>
      <w:r>
        <w:t>Da die Beschwerdeführerin unterliegt, sind ihr die Gerichtskosten aufzuerlegen (§ 65a Abs. 2 i. V. m § 13 Abs. 2 VRG). Eine Parteientschädigung ist nicht zuzusprechen (§ 17 Abs. 2 VRG).</w:t>
      </w:r>
    </w:p>
    <w:p>
      <w:r>
        <w:rPr>
          <w:b/>
        </w:rPr>
        <w:t>E. 3</w:t>
      </w:r>
    </w:p>
    <w:p>
      <w:r>
        <w:t>Der vorliegende Entscheid kann mit Beschwerde in öffentlich-rechtlichen Angelegenheiten nach Art. 82 ff. des Bundesgesetzes vom 17. Juni 2005 über das Bundesgericht (BGG) angefochten werden, soweit die Beschwerdeführerin einen Rechtsanspruch auf eine fremdenpolizeiliche Bewilligung geltend macht.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