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VB.2013.00409 vom 27. April 2005</w:t>
      </w:r>
    </w:p>
    <w:p>
      <w:r>
        <w:t>ZH Verwaltungsgericht, 2005-04-27, DE</w:t>
      </w:r>
    </w:p>
    <w:p>
      <w:r>
        <w:rPr>
          <w:b/>
        </w:rPr>
        <w:t xml:space="preserve">Quelle: </w:t>
      </w:r>
      <w:r>
        <w:t>https://mcp.opencaselaw.ch/entscheid/zh_verwaltungsgericht__VB.2013.00409</w:t>
      </w:r>
    </w:p>
    <w:p>
      <w:r>
        <w:t>FR: ZH_VERWALTUNGSGERICHT VB.2013.00409 du 27 avril 2005</w:t>
      </w:r>
    </w:p>
    <w:p>
      <w:r>
        <w:t>IT: ZH_VERWALTUNGSGERICHT VB.2013.00409 del 27 aprile 2005</w:t>
      </w:r>
    </w:p>
    <w:p>
      <w:pPr>
        <w:pStyle w:val="Heading2"/>
      </w:pPr>
      <w:r>
        <w:t>Regeste</w:t>
      </w:r>
    </w:p>
    <w:p>
      <w:r>
        <w:t>Aufenthaltsbewilligung und Wegweisung | Der Beschwerdeführer hätte gestützt auf Art. 42 Abs. 3 AuG grundsätzlich Anspruch auf die Niederlassungsbewilligung (E. 2.1). Eine ausländische Person verstösst in schwerwiegender Weise gegen die öffentliche Ordnung und Sicherheit, wenn sie durch ihr Handeln besonders hochwertige Rechtsgüter verletzt oder gefährdet, sich von strafrechtlichen Massnahmen nicht beeindrucken lässt und sich im Rahmen einer Gesamtsbetrachtung zeigt, dass sie auch künftig weder gewillt noch fähig erscheint, sich an die Rechtsordnung zu halten. Dies trifft auf den Beschwerdeführer zu, der seit Jahren mit Kokain handelt (E. 2.2). Offengelassen, ob der Beschwerdeführer einen Aufenthaltsanspruch gestützt auf den Schutz des Familienlebens gemäss Art. 8 Abs. 1 EMRK hat (E. 2.4). Art. 121 Abs. 3-6 BV ("Ausschaffungsinitiative") ist im heutigen Zeitpunkt bereits insofern Rechnung zu tragen, als der Verfassunggeber damit zum Ausdruck brachte, das öffentliche Interesse an der Wegweisung ausländischer Personen, die bestimmte Straftaten begangen haben, sei regelmässig hoch. Bei sogenannten "Chügelidealern", die jeweils nur eine geringe Menge der gehandelten Droge mit sich herumtragen und denen deshalb regelmässig auch nur ein geringer Handel nachgewiesen werden kann, darf im ausländerrechtlichen Verfahren ohne Verletzung der Unschuldsvermutung berücksichtigt werden, dass sie tatsächlich mit einer höheren Menge der Droge handeln, als die Strafurteile implizieren, und deshalb regelmässig auch die Gesundheit einer Vielzahl von Menschen gefährden (E. 3.1). Es ist abzulehnen, aus der stark einzelfallbezogenen Rechtsprechung des EGMR verbindliche Vorgaben im Sinne einer eigentlichen Regelbildung abzuleiten (E. 3.2). Abweisung UP/URB. Abweisung.</w:t>
      </w:r>
    </w:p>
    <w:p>
      <w:pPr>
        <w:pStyle w:val="Heading2"/>
      </w:pPr>
      <w:r>
        <w:t>Erwägungen</w:t>
      </w:r>
    </w:p>
    <w:p>
      <w:r>
        <w:rPr>
          <w:b/>
        </w:rPr>
        <w:t>E. 4</w:t>
      </w:r>
    </w:p>
    <w:p>
      <w:r>
        <w:t>Nach dem Gesagten ist die Beschwerde abzuweisen. Weil die dem Beschwerdeführer durch die Vorinstanz neu angesetzte Frist zum Verlassen der Schweiz ebenfalls abgelaufen ist, gilt es eine angemessene neue Frist anzusetzen, und zwar bis am 31. Dezember 2013 (vgl. VGr, 13. Juli 2011, VB.2011.00271, E. 2.4 Abs. 2; Art. 64d Abs. 1 AuG). Sollte allerdings ein Weiterzug dieses Urteils an das Bundesgericht erfolgen und Letzteres dem Rechtsmittel aufschiebende Wirkung verleihen, hat der Beschwerdeführer sich binnen zweier Monate ab dem Datum eines den Wegweisungs ­ punkt nicht ändernden bundesgerichtlichen Endentscheids aus dem Land zu entfernen.</w:t>
      </w:r>
    </w:p>
    <w:p>
      <w:r>
        <w:rPr>
          <w:b/>
        </w:rPr>
        <w:t>E. 5.1</w:t>
      </w:r>
    </w:p>
    <w:p>
      <w:r>
        <w:t>Ausgangsgemäss sind die Gerichtskosten dem Beschwerdeführer aufzuerlegen und kann dieser keine Parteientschädigung erhalten (§ 65a Abs. 2 in Verbindung mit § 13 Abs. 2 Satz 1 VRG).</w:t>
      </w:r>
    </w:p>
    <w:p>
      <w:r>
        <w:rPr>
          <w:b/>
        </w:rPr>
        <w:t>E. 5.2</w:t>
      </w:r>
    </w:p>
    <w:p>
      <w:r>
        <w:t>Der Beschwerdeführer ersucht um Gewährung unentgeltlicher Rechtspflege und Vertretung. Private, welchen die nötigen Mittel fehlen, haben nach § 16 Abs. 1 und 2 VRG Anspruch auf unentgeltliche Rechtspflege und -vertretung, wenn ihr Begehren nicht offen­sicht­lich aussichtslos erscheint und sie nicht in der Lage sind, ihre Rechte im Verfahren selbst zu wahren. Mittellos ist, wer nicht in der Lage ist, die Gerichtskosten aus seinem Einkommen – nach Abzug der Lebenshaltungskosten – innert angemessener Frist zu bezahlen (Alfred Kölz/Jürg Bosshart/Martin Röhl, Kommentar zum Verwaltungsverfahrensgesetz des Kantons Zürich, 2. A., Zürich 1999, § 16 N. 24). Den Nachweis der Mittellosigkeit hat grundsätzlich der Gesuchsteller zu erbringen (Kölz/Bosshart Röhl, § 16 N. 29). Offensichtlich aussichtslos sind Begehren, deren Aussichten auf Gutheissung um derart viel kleiner als jene auf Abweisung erscheinen, dass sie kaum als ernsthaft bezeichnet werden können (Kölz/Bosshart Röhl, § 16 N. 32). Der anwaltlich vertretene Beschwerdeführer begründet sein Armenrechtsgesuch einzig damit, er halte sich zurzeit im Strafvollzug auf und habe deshalb kein Einkommen. Damit genügt er den Anforderungen an die Sustantiierung der Mittellosigkeit offensichtlich nicht. Einerseits legt er nicht dar, welches Einkommen er ausserhalb des Strafvollzugs erzielte, anderseits fehlen auch Ausführungen zu den regelmässigen Ausgaben des Beschwerdeführers. Weil er demnach seine Mittellosigkeit nicht dartun konnte, ist das Armenrechtsgesuch abzuweisen.</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beziehungs ­ 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