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VB.2013.00388 vom 10. Juli 2013</w:t>
      </w:r>
    </w:p>
    <w:p>
      <w:r>
        <w:t>ZH Verwaltungsgericht, 2013-07-10, DE</w:t>
      </w:r>
    </w:p>
    <w:p>
      <w:r>
        <w:rPr>
          <w:b/>
        </w:rPr>
        <w:t xml:space="preserve">Quelle: </w:t>
      </w:r>
      <w:r>
        <w:t>https://mcp.opencaselaw.ch/entscheid/zh_verwaltungsgericht__VB.2013.00388</w:t>
      </w:r>
    </w:p>
    <w:p>
      <w:r>
        <w:t>FR: ZH_VERWALTUNGSGERICHT VB.2013.00388 du 10 juillet 2013</w:t>
      </w:r>
    </w:p>
    <w:p>
      <w:r>
        <w:t>IT: ZH_VERWALTUNGSGERICHT VB.2013.00388 del 10 luglio 2013</w:t>
      </w:r>
    </w:p>
    <w:p>
      <w:pPr>
        <w:pStyle w:val="Heading2"/>
      </w:pPr>
      <w:r>
        <w:t>Regeste</w:t>
      </w:r>
    </w:p>
    <w:p>
      <w:r>
        <w:t>Aufenthaltsbewilligung | [Die Beschwerdeführerin will ihren 44 Jahre alten, geistig behinderten Bruder aus Mazedonien in die Schweiz nachziehen.] Nach Art. 8 Abs. 1 EMRK haben Personen ausserhalb der Kernfamilie dann einen Anspruch auf Familiennachzug, wenn sie vom in der Schweiz lebenden Familienangehörigen besonders abhängig sind. Ob ein besonderes Abhängigkeitsverhältnis vorliegt, entscheidet sich auch aufgrund geänderter familiärer Umstände, etwa wegen des Tods der Eltern (E. 3.1). Ob zwischen der Beschwerdeführerin und ihrem Bruder ein Abhängigkeitsverhältnis im Sinn von Art. 8 Abs. 1 EMRK besteht, kann erst nach weiteren Sachverhaltsabklärungen beurteilt werden (E. 3.2). Teilweise Gutheissung und Rückweisung an die Vorinstanz.</w:t>
      </w:r>
    </w:p>
    <w:p>
      <w:pPr>
        <w:pStyle w:val="Heading2"/>
      </w:pPr>
      <w:r>
        <w:t>Erwägungen</w:t>
      </w:r>
    </w:p>
    <w:p>
      <w:r>
        <w:rPr>
          <w:b/>
        </w:rPr>
        <w:t>E. 4</w:t>
      </w:r>
    </w:p>
    <w:p>
      <w:r>
        <w:t>Die Beschwerdeführerin macht weiter geltend, D sei eine Aufenthaltsbewilligung aufgrund eines Härtefalls nach Art. 30 Abs. 1 lit. b AuG zu erteilen. Diese Frage lässt sich aufgrund des unvollständig festgestellten Sachverhalts ebenfalls nicht abschliessend beurteilen, weshalb die Angelegenheit auch diesbezüglich an die Vorinstanz zurückzuweisen ist.</w:t>
      </w:r>
    </w:p>
    <w:p>
      <w:r>
        <w:rPr>
          <w:b/>
        </w:rPr>
        <w:t>E. 5</w:t>
      </w:r>
    </w:p>
    <w:p>
      <w:r>
        <w:t>Nach dem Gesagten ist die Beschwerde teilweise gutzuheissen. Der Rekursentscheid vom 25. April 2013 ist aufzuheben und die Angelegenheit zur weiteren Sachverhaltsabklärung an die Vorinstanz zurückzuweisen.</w:t>
      </w:r>
    </w:p>
    <w:p>
      <w:r>
        <w:rPr>
          <w:b/>
        </w:rPr>
        <w:t>E. 6</w:t>
      </w:r>
    </w:p>
    <w:p>
      <w:r>
        <w:t>Mehrere am Verfahren Beteiligte tragen die Kosten in der Regel entsprechend ihrem Unterliegen. Bei Rückweisungen geht die Praxis regelmässig von einem je hälftigen Obsiegen und Unterliegen der Parteien aus (vgl. etwa VGr, 1. April 2009, PB.2008.00050, E. 7, sowie 23. November 2011, VB.2011.00371, E. 4). Die Kosten des Beschwerdeverfahrens sind demnach de r Beschwerde führerin und dem Beschwerdegegner je zur Hälfte aufzuerlegen (§ 65a Abs. 2 in Verbindung mit § 13 Abs. 2 Satz 1 VRG). Die Beschwerdeführe rin ist nicht als obsiegend anzusehen, weshalb ih r keine Parteientschädigung zuzusprechen ist (§ 17 Abs. 2 VRG; Kölz/Bosshart/Röhl, § 17 N. 32).</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 Letztinstanzliche kantonale Rückweisungsentscheide sind als Zwischenentscheide im Sinn von Art. 93 BGG zu q 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