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VB.2013.00314 vom 4. November 2013</w:t>
      </w:r>
    </w:p>
    <w:p>
      <w:r>
        <w:t>ZH Verwaltungsgericht, 2013-11-04, DE</w:t>
      </w:r>
    </w:p>
    <w:p>
      <w:r>
        <w:rPr>
          <w:b/>
        </w:rPr>
        <w:t xml:space="preserve">Quelle: </w:t>
      </w:r>
      <w:r>
        <w:t>https://mcp.opencaselaw.ch/entscheid/zh_verwaltungsgericht__VB.2013.00314</w:t>
      </w:r>
    </w:p>
    <w:p>
      <w:r>
        <w:t>FR: ZH_VERWALTUNGSGERICHT VB.2013.00314 du 4 novembre 2013</w:t>
      </w:r>
    </w:p>
    <w:p>
      <w:r>
        <w:t>IT: ZH_VERWALTUNGSGERICHT VB.2013.00314 del 4 novembre 2013</w:t>
      </w:r>
    </w:p>
    <w:p>
      <w:pPr>
        <w:pStyle w:val="Heading2"/>
      </w:pPr>
      <w:r>
        <w:t>Regeste</w:t>
      </w:r>
    </w:p>
    <w:p>
      <w:r>
        <w:t>Nichtbestehen Qualifikationsverfahren | [Die Vorinstanz war auf den Rekurs nicht eingetreten, weil dieser verspätet erhoben worden sei.] Die Bestimmungen der Ziviprozessordnung zur Zustellung finden auch auf Zustellungen von Verwaltungsbehörden Anwendung. Eine Anweisung an die Post, Sendungen für eine bestimmte Zeit zurückzuhalten, vermag den Zeitpunkt der Zustellfiktion nicht aufzuschieben; die Sendung gilt in solchen Fällen am siebten Tag nach Eingang bei der Poststelle als zugestellt (E. 2.2). Die Parteien eines Verwaltungsverfahrens haben grundsätzlich keinen Anspruch darauf, dass ihnen Sendungen - bei bestehendem Prozessrechtsverhältnis - während einer Auslandabwesenheit nicht zugestellt werden (E. 2.3). Die verspätete Rekurserhebung ist auf eine grobe Nachlässigkeit der Beschwerdeführerin zurückzuführen (E. 2.4). Abweisung.</w:t>
      </w:r>
    </w:p>
    <w:p>
      <w:pPr>
        <w:pStyle w:val="Heading2"/>
      </w:pPr>
      <w:r>
        <w:t>Erwägungen</w:t>
      </w:r>
    </w:p>
    <w:p>
      <w:r>
        <w:rPr>
          <w:b/>
        </w:rPr>
        <w:t>E. 4</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