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VB.2013.00069 vom 5. März 2013</w:t>
      </w:r>
    </w:p>
    <w:p>
      <w:r>
        <w:t>ZH Verwaltungsgericht, 2013-03-05, DE</w:t>
      </w:r>
    </w:p>
    <w:p>
      <w:r>
        <w:rPr>
          <w:b/>
        </w:rPr>
        <w:t xml:space="preserve">Quelle: </w:t>
      </w:r>
      <w:r>
        <w:t>https://mcp.opencaselaw.ch/entscheid/zh_verwaltungsgericht__VB.2013.00069</w:t>
      </w:r>
    </w:p>
    <w:p>
      <w:r>
        <w:t>FR: ZH_VERWALTUNGSGERICHT VB.2013.00069 du 5 mars 2013</w:t>
      </w:r>
    </w:p>
    <w:p>
      <w:r>
        <w:t>IT: ZH_VERWALTUNGSGERICHT VB.2013.00069 del 5 marzo 2013</w:t>
      </w:r>
    </w:p>
    <w:p>
      <w:pPr>
        <w:pStyle w:val="Heading2"/>
      </w:pPr>
      <w:r>
        <w:t>Regeste</w:t>
      </w:r>
    </w:p>
    <w:p>
      <w:r>
        <w:t>Massnahmen nach Gewaltschutzgesetz | Rayon- und Kontaktverbot gegenüber der Ex-Ehefrau. Die Vorinstanz verfügte zu Recht eine Verlängerung des polizeilich angeordneten Rayon- und Kontaktverbots: Aufgrund der beweiserheblichen Umstände - insbesondere aufgrund des Aussageverhaltens der beiden Ex-Eheleute und ihrer 7-jährigen Tochter anlässlich der mündlichen Anhörung - durfte die Vorinstanz es als glaubhaft erachten, dass der Ex-Ehemann Todesdrohungen auf die Combox der Ex-Ehefrau gesprochen hatte (E. 3.6). Die 3-monatige Dauer der Schutzmassnahmen erscheint verhältnismässig, da die geäusserten Drohungen massiv waren und weil vom Kontaktverbot nur die Ex-Ehefrau, nicht aber die Tochter betroffen ist (E. 3.6). Örtlich zuständig ist nicht die Behörde am Ort, wo der Ex-Ehemann die Drohungen (am Telefon) aussprach, sondern die Behörde am Ort, wo die Ex-Ehefrau die Drohungen (via Combox) empfing (E. 3.7). Die Ex-Ehefrau hat Anspruch auf Bestellung eines unentgeltlichen Rechtsbeistands (E. 4.2) sowie auf Zusprechung einer Parteientschädigung (E. 4.3). Abweisung.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Zusammenfassend erweisen sich die Einwendungen des Beschwerdeführers als unbegründet. Somit ist die Beschwerde abzuweisen. Ausgangsgemäss sind die Kosten des Verfahrens dem Beschwerdeführer aufzuerlegen (§ 65a Abs. 2 in Verbindung mit § 13 Abs. 2 VRG) . D as Gesuch der Beschwerdegegnerin um unentgeltliche Prozessführung ist demnach als gegenstandslos geworden abzuschreiben .</w:t>
      </w:r>
    </w:p>
    <w:p>
      <w:r>
        <w:rPr>
          <w:b/>
        </w:rPr>
        <w:t>E. 4.2</w:t>
      </w:r>
    </w:p>
    <w:p>
      <w:r>
        <w:t>Die Beschwerdegegnerin hat die Gewährung der unentgeltlichen Verbeiständung im Beschwerdeverfahren beantragt. Das Begehren ist gutzuheissen, da mit der Vorinstanz von ihrer Mittellosigkeit im Sinn von § 16 Abs. 1 VRG auszugehen ist ( vgl. act. 18) und weil anzunehmen ist, dass sie nicht in der Lage war, ihre Recht im Verfahren selbst zu wahren (§ 16 Abs. 2 VRG), zumal auch die Gegenpartei anwaltlich vertreten ist (vgl. BGr, 19. Juli 2012, 8C_292/2012, E. 8.3 ). Rechtsanwalt RA D ist für das Beschwerdeverfahren als unentgeltlicher Rechtsbeistand der Beschwerdegegenerin zu bestellen. Hinzuweisen ist auf § 16 Abs. 4 VRG, wonach eine Partei, der die unentgeltliche Rechtspflege gewährt wurde, zur Nachzahlung verpflichtet ist, sobald sie dazu in der Lage ist; der Anspruch des Kantons verjährt zehn Jahre nach Abschluss des Verfahrens.</w:t>
      </w:r>
    </w:p>
    <w:p>
      <w:r>
        <w:rPr>
          <w:b/>
        </w:rPr>
        <w:t>E. 4.3</w:t>
      </w:r>
    </w:p>
    <w:p>
      <w:r>
        <w:t>A ls obsiegende Partei hat die anwaltlich vertretene Beschwerdegegnerin Anspruch auf Zusprechung einer angemessenen Parteientsc häd igung . Dem unterliegenden Beschwerdeführer ist hingegen keine Parteientschädigung zuzusprechen (§ 17 Abs. 2 VRG). Da die Beschwerdegegnerin Anspruch auf unentgeltliche Verbeiständung hat (E. 4.2), ist der Beschwerdeführer zu verpflichten, die Parteientschädigung direkt an den Vertreter der Beschwerdegegnerin zu bezahlen. Die Parteientschädigung wird – soweit sie sich nicht als uneinbringlich erweisen sollte – an die Entschädigung anzurechnen sein, die dem Vertreter der Beschwerdegegnerin für die unentgeltliche Rechtsverbeiständung im Beschwerdeverfahren auszurichten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