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VB.2012.00780 vom 10. April 2013</w:t>
      </w:r>
    </w:p>
    <w:p>
      <w:r>
        <w:t>ZH Verwaltungsgericht, 2013-04-10, DE</w:t>
      </w:r>
    </w:p>
    <w:p>
      <w:r>
        <w:rPr>
          <w:b/>
        </w:rPr>
        <w:t xml:space="preserve">Quelle: </w:t>
      </w:r>
      <w:r>
        <w:t>https://mcp.opencaselaw.ch/entscheid/zh_verwaltungsgericht__VB.2012.00780</w:t>
      </w:r>
    </w:p>
    <w:p>
      <w:r>
        <w:t>FR: ZH_VERWALTUNGSGERICHT VB.2012.00780 du 10 avril 2013</w:t>
      </w:r>
    </w:p>
    <w:p>
      <w:r>
        <w:t>IT: ZH_VERWALTUNGSGERICHT VB.2012.00780 del 10 aprile 2013</w:t>
      </w:r>
    </w:p>
    <w:p>
      <w:pPr>
        <w:pStyle w:val="Heading2"/>
      </w:pPr>
      <w:r>
        <w:t>Regeste</w:t>
      </w:r>
    </w:p>
    <w:p>
      <w:r>
        <w:t>Klassenzuteilung / Schulhauszuteilung | [Die Zuteilung ihrer Tochter in ein Oberstufenschulhaus der Schulgemeinde focht die Beschwerdeführerin an, nachdem ihre Tochter in der Unter- und Mittelstufe der Volksschule ein Opfer von Mobbing geworden sei. Nachdem keine vorsorgliche Zuteilung in ein Schulhaus einer anderen Gemeinde erfolgt war, meldete die Beschwerdeführerin ihre Tochter in einer anderen Gemeinde als Wochenaufenthalterin an.] Zuständigkeit (E. 1). § 10 VSG verleiht am Wohnort Anspruch auf Schulbesuch; halten sich Schüler(innen) an Wochentagen gewöhnlich ausserhalb ihres Wohnorts auf, müssen sie die Schule an diesem (andern) Ort besuchen. Sind Schüler(innen) ausserhalb ihrer Familie in Obhut, befindet sich ihr Wohnort dort, wo sie an Wochentagen üblicherweise die Nacht verbringen. Auf Gesuch der Eltern kann die Schule unentgeltlich in einer anderen Gemeinde besucht werden, wenn der Wohnort der Schüler(innen) im Kanton liegt und diese sich an Wochentagen, auch während der Schulferien, tagsüber mehrheitlich in der anderen Gemeinde aufhalten. Ist für eine Schülerin oder einen Schüler der weitere Besuch in der angestammten Klasse unzumutbar, wird sie oder er nach § 26 Abs. 3 VSG einer anderen Klasse zugeteilt, wenn nötig in einer anderen Gemeinde. Können sich die Beteiligten nicht einigen, legt die Direktion nach § 12 VSG den Schulort, die Kostenpflicht und die Höhe des Schulgeldes fest. Die Zuständigkeit der Bildungsdirektion erstreckt sich aufgrund des § 12 VSG insofern auch auf § 26 Abs. 3 VSG, als ein Gemeindewechsel fraglich ist (E. 2.1). Indem die Tochter der Beschwerdeführerin ab Beginn des Schuljahres 2012/13 als Wochenaufenthalterin in einer anderen Gemeinde gemeldet ist, trägt die bisherige Gemeinde ab dann keine Verantwortung für die Schulung der Tochter mehr. Der Streit zwischen dne Parteien verlor damit seinen Gegenstand (E. 2.2). Verneinen des Vorliegens der Voraussetzungen für einen Verzicht auf ein aktuelles Rechtsschutzinteresse (E. 2.3). Die Vorinstanz hat ihr Verfahren zu Rechtals gegenstandslos abgeschrieben. Insoweit ist die Beschwerde, welche die Aufhebung des angefochtenen Beschlusses und Anhalten der Vorinstanz zum materiellen Entscheid anstrebt, mithin abzuweisen. Das gilt umsomehr, als es Letzterer an der sachlichen Zuständigkeit gebricht. Diese liegt für die gegenwärtige Kontroverse bei der Bildungsdirektion, welche darüber erstinstanzlich befindet (E. 2.4). In teilweiser Gutheissung der Beschwerde werden die Rekurskosten auf die Staatskasse genommen. Im Übrigen wird die Beschwerde abgewiesen.</w:t>
      </w:r>
    </w:p>
    <w:p>
      <w:pPr>
        <w:pStyle w:val="Heading2"/>
      </w:pPr>
      <w:r>
        <w:t>Erwägungen</w:t>
      </w:r>
    </w:p>
    <w:p>
      <w:r>
        <w:rPr>
          <w:b/>
        </w:rPr>
        <w:t>E. 4</w:t>
      </w:r>
    </w:p>
    <w:p>
      <w:r>
        <w:t>Zur Begründung der Rechtsmittelbelehrung im folgenden Dispositiv lässt sich auf ein analoges Geschäft der Kammer verweisen (VGr, 20. März 2013, VB.2012.00629, besonders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