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VB.2012.00762 vom 24. Januar 2013</w:t>
      </w:r>
    </w:p>
    <w:p>
      <w:r>
        <w:t>ZH Verwaltungsgericht, 2013-01-24, DE</w:t>
      </w:r>
    </w:p>
    <w:p>
      <w:r>
        <w:rPr>
          <w:b/>
        </w:rPr>
        <w:t xml:space="preserve">Quelle: </w:t>
      </w:r>
      <w:r>
        <w:t>https://mcp.opencaselaw.ch/entscheid/zh_verwaltungsgericht__VB.2012.00762</w:t>
      </w:r>
    </w:p>
    <w:p>
      <w:r>
        <w:t>FR: ZH_VERWALTUNGSGERICHT VB.2012.00762 du 24 janvier 2013</w:t>
      </w:r>
    </w:p>
    <w:p>
      <w:r>
        <w:t>IT: ZH_VERWALTUNGSGERICHT VB.2012.00762 del 24 gennaio 2013</w:t>
      </w:r>
    </w:p>
    <w:p>
      <w:pPr>
        <w:pStyle w:val="Heading2"/>
      </w:pPr>
      <w:r>
        <w:t>Regeste</w:t>
      </w:r>
    </w:p>
    <w:p>
      <w:r>
        <w:t>Hausverbot | Hausverbot auf unbestimmte Zeit: Aufhebung des Entscheids und Rückweisung der Angelegenheit an die Vorinstanz wegen Verletzung des Anspruchs auf Gewährung des rechtlichen Gehörs. Zuständigkeit des Verwaltungsgerichts (E. 1). Anspruch auf Gewährung des rechtlichen Gehörs, Replikrecht und Folgen einer Gehörsverletzung (E. 2.1-2). Das Vorgehen der Vorinstanz verletzt nicht nur das rechtliche Gehör des Beschwerdeführers, sondern widerspricht im Übrigen dem Grundsatz der Gleichbehandlung der Parteien: Dem Beschwerdeführer als Rekurrenten bleibt damit verwehrt, Kenntnis von den Entgegnungen der Gegenpartei zu seinen rechtlichen oder tatsächlichen Vorbringen bzw. von den noch strittigen Punkten zu erlangen. Aufgrund der Schwere und der dem Verwaltungsgericht in der Sache zustehenden beschränkten Kognition kann die vorliegende Gehörsverletzung nicht geheilt werden (E. 2.3). Nach Massgabe des Verursacherprinzips rechtfertigt es sich, die Gerichtskosten der Vorinstanz aufzuerlegen (E. 3). Rechtsmittelbelehrung (E. 4). Teilweise Gutheissung der Beschwerde.</w:t>
      </w:r>
    </w:p>
    <w:p>
      <w:pPr>
        <w:pStyle w:val="Heading2"/>
      </w:pPr>
      <w:r>
        <w:t>Erwägungen</w:t>
      </w:r>
    </w:p>
    <w:p>
      <w:r>
        <w:rPr>
          <w:b/>
        </w:rPr>
        <w:t>E. 3</w:t>
      </w:r>
    </w:p>
    <w:p>
      <w:r>
        <w:t>Die Rückweisung ist auf die Verfahrensleitung der Vorinstanz und insbesondere auf die von ihr zu vertretende Gehörsverweigerung zurückzuführen. Nach Massgabe des Verursacherprinzips rechtfertigt es sich daher, die Gerichtskosten dem Spitalrat aufzuerlegen (§ 65a Abs. 1 in Verbindung mit § 13 Abs. 2 VRG; VGr, 10. September 2012, VB.2012.00393, E. 2.5; 25. Juli 2012, VB.2012.00434, E. 4; 10. Mai 2012, VB.2011.00052, E. 6.3, alle je mit Hinweisen; Kölz/Bosshart/Röhl, § 13 Rz. 22, anders Rz. 27).</w:t>
      </w:r>
    </w:p>
    <w:p>
      <w:r>
        <w:rPr>
          <w:b/>
        </w:rPr>
        <w:t>E. 4</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