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VB.2012.00738 vom 30. Januar 2013</w:t>
      </w:r>
    </w:p>
    <w:p>
      <w:r>
        <w:t>ZH Verwaltungsgericht, 2013-01-30, DE</w:t>
      </w:r>
    </w:p>
    <w:p>
      <w:r>
        <w:rPr>
          <w:b/>
        </w:rPr>
        <w:t xml:space="preserve">Quelle: </w:t>
      </w:r>
      <w:r>
        <w:t>https://mcp.opencaselaw.ch/entscheid/zh_verwaltungsgericht__VB.2012.00738</w:t>
      </w:r>
    </w:p>
    <w:p>
      <w:r>
        <w:t>FR: ZH_VERWALTUNGSGERICHT VB.2012.00738 du 30 janvier 2013</w:t>
      </w:r>
    </w:p>
    <w:p>
      <w:r>
        <w:t>IT: ZH_VERWALTUNGSGERICHT VB.2012.00738 del 30 gennaio 2013</w:t>
      </w:r>
    </w:p>
    <w:p>
      <w:pPr>
        <w:pStyle w:val="Heading2"/>
      </w:pPr>
      <w:r>
        <w:t>Regeste</w:t>
      </w:r>
    </w:p>
    <w:p>
      <w:r>
        <w:t>Submission | Vergabe von Reinigungsarbeiten im selektiven Submissionsverfahren: Legitimation. Bewertung. Die Beschwerdeführerin, die ein preislich günstigeres Angebot eingereicht hat, hätte bei Gutheissung der Beschwerde allenfalls Chancen auf den Zuschlag. Sie ist daher zur Beschwerde legitimiert (E. 2.2). Im kantonalen submissionsrechtlichen Beschwerdeverfahren gelten grundsätzlich die Untersuchungsmaxime und der Grundsatz der Rechtsanwendung von Amts wegen. Diese werden relativiert durch die Mitwirkungspflichten der Parteien sowie durch eine die Parteien treffende Begründungs- bzw. Substanziierungspflicht. Es ist nicht Sache des Gerichts, ohne konkrete Einwände die Angebotsbewertungen zu überprüfen. Der Beschwerdeführer muss im Einzelnen dartun, in welchen Punkten der angefochtene Entscheid rechtsverletzend sein soll. Blosse Unangemessenheit kann nicht geltend gemacht werden (E. 3).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 21 Abs. 1 des Verwaltungsrechtspflegegesetzes vom 24. Mai 1959 [VRG]).</w:t>
      </w:r>
    </w:p>
    <w:p>
      <w:r>
        <w:rPr>
          <w:b/>
        </w:rPr>
        <w:t>E. 2.2</w:t>
      </w:r>
    </w:p>
    <w:p>
      <w:r>
        <w:t>Die Beschwerdeführerin macht sinngemäss geltend, bei richtiger Bewertung würde sie vor der Mitbeteiligten rangieren. Betragsmässig hat die Beschwerdeführerin das tiefere Angebot eingereicht als die Mitbeteiligte. Sind ihre Rügen betreffend Bewertung der anderen Zuschlagskriterien begründet, hätte sie jedenfalls eine realistische Chance auf den Zuschlag. Ihre Legitimation ist zu bejahen.</w:t>
      </w:r>
    </w:p>
    <w:p>
      <w:r>
        <w:rPr>
          <w:b/>
        </w:rPr>
        <w:t>E. 3.1</w:t>
      </w:r>
    </w:p>
    <w:p>
      <w:r>
        <w:t>Nach § 33 Abs. 1 der Submissionsverordnung vom 23. Juli 2003 (SubmV) ergeht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 und ebenso beim Urteil darüber, welches Angebot anhand der Zuschlagskriterien das wirtschaftlich günstigste sei − steht ihr ein erheblicher Ermessensspielraum zu ( VGr, 26. Januar 2011, VB.2010.00351, E. 3 mit Hinweisen ).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Im kantonalen submissionsrechtlichen Beschwerdeverfahren gelten zwar grundsätzlich die Untersuchungsmaxime und der Grundsatz der Rechtsanwendung von Amts wegen (§ 2 Abs. 2 IVöB-BeitrittsG in Verbindung mit § 70 und § 7 VRG; vgl. für das bundesrechtliche Beschwerdeverfahren EBRK, 11. März 2005, VPB 69 (2005), Nr. 79, E. 1d, auszugsweise publiziert in BR 2005, S. 80, Nr. S25, mit Anmerkungen von Hubert Stöckli, auch zum Folgenden). Diese Grundsätze werden aber durch die Mitwirkungspflichten der Parteien sowie durch eine die Parteien treffende Begründungs- bzw. Substanziierungspflicht relativiert (Markus Metz/Felix Uhlmann, Besonderheiten der Prozessführung im öffentlichen Recht, AJP 2004, S. 344 f.; Peter Galli/André Moser/Elisabeth Lang/Evelyne Clerc, Praxis des öffentlichen Beschaffungsrechts, Zürich/Basel/Genf 2007, N. 912; jeweils mit Hinweisen und auch zum Folgenden). Danach ist es grundsätzlich Sache der Beschwerdeführerin, in ihrer Beschwerde die notwendigen Sachvorbringen vorzutragen, die den Schluss auf eine Verletzung submissionsrechtlicher Bestimmungen durch den angefochtenen Vergabeentscheid ermöglichen. Sie hat im Einzelnen darzulegen, inwiefern die Verfügung mangelhaft sein soll. Es ist nicht Sache des Gerichts, ohne konkrete Einwände die Angebotsbewertungen zu überprüfen. Die Beschwerdeführerin muss dartun, in welchen Punkten der angefochtene Entscheid auf einem unrichtigen oder unvollständig festgestellten Sachverhalt beruht und/oder inwiefern Rechtsnormen unrichtig oder in Überschreitung bzw. Missbrauch des Ermessens angewendet werden. Liegen trotz fehlender Rügen klare Mängel vor, sind diese jedoch vom Verwaltungsgericht zu berücksichtigen (Alfred Kölz/Jürg Bosshart/Martin Röhl, Kommentar zum Verwaltungsrechtspflegegesetz des Kantons Zürich, 2. A., Zürich 1999, § 50 N. 4).</w:t>
      </w:r>
    </w:p>
    <w:p>
      <w:r>
        <w:rPr>
          <w:b/>
        </w:rPr>
        <w:t>E. 3.2</w:t>
      </w:r>
    </w:p>
    <w:p>
      <w:r>
        <w:t>Gemäss den Allgemeinen Ausschreibungsbedingungen bestimmte sich die Vergabe nach folgenden Zuschlagskriterien: - Kosten für Jahrespauschale                                                      40 % - BBW bezogene Mandatsorganisation / Implementierung       20 % - Plausibilität Ressourcen und Leistungszahlen                         20 % - Kosten für Regieansätze                                                            5 % - Kosten für Verbrauchsmaterial                                                  5 % - Personalplanung (Schlüsselpersonen)                                         5 % - BBW bezogene Qualitätskontrolle                                            5 % Pro Kriterium konnte eine Maximalpunktzahl von fünf Punkten erreicht werden. Anschliessend wurde die Punktzahl mit der Gewichtung multipliziert. Insgesamt erreichte das Angebot der Beschwerdeführerin 392.4, dasjenige der Mitbeteiligten 399.9 Punkte.</w:t>
      </w:r>
    </w:p>
    <w:p>
      <w:r>
        <w:rPr>
          <w:b/>
        </w:rPr>
        <w:t>E. 3.3</w:t>
      </w:r>
    </w:p>
    <w:p>
      <w:r>
        <w:t>In ihrer Beschwerde rügt die Beschwerdeführerin sinngemäss die Bewertung der Zuschlagskriterien, ausgenommen jene des Kriteriums "Kosten für Jahrespauschale". Zu Recht hat die Beschwerdeführerin die Bewertung dieses Kriteriums nicht angefochten, erhielt sie doch dafür die maximale Punktzahl. Inwiefern die Bewertung der anderen Zuschlagskriterien zu beanstanden ist, legt die Beschwerdeführerin jedoch nicht dar, zumal sie sich zur Beschwerdeantwort nicht vernehmen liess.</w:t>
      </w:r>
    </w:p>
    <w:p>
      <w:r>
        <w:rPr>
          <w:b/>
        </w:rPr>
        <w:t>E. 3.4</w:t>
      </w:r>
    </w:p>
    <w:p>
      <w:r>
        <w:t>Wie bereits ausgeführt, berücksichtigt das Verwaltungsgericht trotz fehlender Rügen klare Mängel. Der Beschwerdegegner hat in der Beschwerdeantwort ausführlich und nachvollziehbar die Bewertung der verschiedenen Kriterien begründet. Klare Mängel sind vorliegend keine erkennbar. Auch ist nicht ersichtlich, dass dem Beschwerdegegner – wie mit der Beschwerdeschrift vermutet – ein Rechnungsfehler unterlaufen wäre. Demnach ist die Beschwerde abzuweisen.</w:t>
      </w:r>
    </w:p>
    <w:p>
      <w:r>
        <w:rPr>
          <w:b/>
        </w:rPr>
        <w:t>E. 4</w:t>
      </w:r>
    </w:p>
    <w:p>
      <w:r>
        <w:t>Entsprechend dem Verfahrensausgang wird die Beschwerdeführerin kostenpflichtig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