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VB.2012.00705 vom 21. November 2012</w:t>
      </w:r>
    </w:p>
    <w:p>
      <w:r>
        <w:t>ZH Verwaltungsgericht, 2012-11-21, DE</w:t>
      </w:r>
    </w:p>
    <w:p>
      <w:r>
        <w:rPr>
          <w:b/>
        </w:rPr>
        <w:t xml:space="preserve">Quelle: </w:t>
      </w:r>
      <w:r>
        <w:t>https://mcp.opencaselaw.ch/entscheid/zh_verwaltungsgericht__VB.2012.00705</w:t>
      </w:r>
    </w:p>
    <w:p>
      <w:r>
        <w:t>FR: ZH_VERWALTUNGSGERICHT VB.2012.00705 du 21 novembre 2012</w:t>
      </w:r>
    </w:p>
    <w:p>
      <w:r>
        <w:t>IT: ZH_VERWALTUNGSGERICHT VB.2012.00705 del 21 novembre 2012</w:t>
      </w:r>
    </w:p>
    <w:p>
      <w:pPr>
        <w:pStyle w:val="Heading2"/>
      </w:pPr>
      <w:r>
        <w:t>Regeste</w:t>
      </w:r>
    </w:p>
    <w:p>
      <w:r>
        <w:t>Ausstandsbegehren gegen den Rektor der Universität Zürich | Gegen Zwischenentscheide über Ausstandsbegehren ist die Beschwerde zulässig (E. 1.2). Zur Beschwerde gegen eine Anordnung ist legitimiert, wer unter anderem ein schutzwürdiges Interese an deren Aufhebung oder Änderung hat. Das schutzwürdige Interesse besteht im materiellen Nutzen, den die erfolgreiche Beschwerde dem Beschwerdeführer eintragen würde (E. 2). Die Nichtbeachtung der Ausstandspflicht führt in der Regel auch zur Aufhebung einer Anordnung, die mittlerweile unter Mitwirkung der vom Ausstandsbegehren betroffenen Person ergangenen ist. Dies gilt für das Verwaltungsgericht kraft § 27a Abs. 1 VRG allerdings dann nicht, wenn es sich bei dieser Anordnung um eine Kündigung handelt, die bloss anfechtbar ist. Die Aufhebung einer Kündigung ist dem Verwaltungsgericht sowohl bei materiellen als auch bei formellen Mängel verwehrt (E. 3.2). Die Verletzung von Ausstandsregeln führt nur in Ausnahmefällen - ein solcher liegt hier nicht vor - zur Nichtigkeit der Kündigung (E. 3.3). Dem Beschwerdeführer fehlt es an einem Interesse, eine angebliche Befangenheit feststellen zu lassen, weil er diese im Hauptsacheverfahren betreffend Kündigung geltend machen kann (E. 4). Vom Erfordernis des aktuellen Rechtsschutzinteresses lässt sich hier nicht absehen (E. 5). Weil nicht der zufällige Zeitpunkt, in dem das Rechtsschutzinteresse nach Erlass der angefochtenen Verfügung entfällt, darüber entscheiden kann, ob die Ausgangsverfügung rechtskräftig werde oder nicht, ist vorliegend Letzteres der Fall (E. 6). Die Gerichtskosten können auch nach dem Verursacherprinzip auferlegt werden. Vorliegend hat die Aufsichtsbehörde unzuständigerweise über das Ausstansbegehren befunden und damit das Verfahren verursacht, weshalb ihr die Kosten aufzuerlegen sind (E. 7.1). Nichteintreten.</w:t>
      </w:r>
    </w:p>
    <w:p>
      <w:pPr>
        <w:pStyle w:val="Heading2"/>
      </w:pPr>
      <w:r>
        <w:t>Erwägungen</w:t>
      </w:r>
    </w:p>
    <w:p>
      <w:r>
        <w:rPr>
          <w:b/>
        </w:rPr>
        <w:t>E. 4</w:t>
      </w:r>
    </w:p>
    <w:p>
      <w:r>
        <w:t>Damit bleibt zu prüfen, ob der Beschwerdeführer ein geschütztes Interesse auf Feststellung hat, ob der Mitbeteiligte an der Kündigungsverfügung mitwirken durfte. Feststellungsbegehren setzen ein schutzwürdiges Interesse voraus. Ein solches liegt vor,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(vgl. zum Ganzen VGr, 22. August 2012, VB.2012.00340, E. 1.4 Abs. 2; Kölz/Boss­hart/Röhl, § 19 N. 60 ff.). Das Feststellungsbegehren kann hier – neben einer Genugtuungsfunktion für den Betroffenen (vgl. hierzu betreffend Rechtsverzögerung VGr, 26. Oktober 2011, VB.2011.00283, E. 2.1 mit Hinweisen) – namentlich dazu dienen, dem Beschwerdeführer wegen formeller Mängel der Kündigungsverfügung vom 28. September 2012 einen Entschädigungsanspruch zu verschaffen (vgl. zum Anspruch auf Entschädigung wegen formeller Mängel der Kündigung etwa VGr, 1. Juni 2011, PB.2010.00022, E. 4 mit zahlreichen Hinweisen). Beides lässt sich indes auch mittels entsprechenden Leistungsbegehrens im Rahmen des Rechtsmittels gegen die Kündigungsverfügung erreichen. Demnach fehlt es dem Beschwerdeführer an einem Feststellungsinteresse.</w:t>
      </w:r>
    </w:p>
    <w:p>
      <w:r>
        <w:rPr>
          <w:b/>
        </w:rPr>
        <w:t>E. 5</w:t>
      </w:r>
    </w:p>
    <w:p>
      <w:r>
        <w:t>Vom Erfordernis eines aktuellen Rechtsschutzinteresses liesse sich jedenfalls nur dann absehen, sofern sich die aufgeworfene Frage unter gleichen oder ähnlichen Umständen wieder stellen und sonst zu grundsätzlichen Problemen kaum je ein rechtzeitiger Entscheid ergehen könnte (vgl. Kölz/Bosshart/Röhl, § 21 N. 25; VGr, 4. Oktober 2007, VB.2007.00335, E. 1.3 – 7. November 2007, VB.2007.00278, E. 1.2.2 – 21. August 2008, VB.2008.00247, E. 2.2; BGE 136 II 101 [= Pra 99/2010 Nr. 94] E. 1.1). Hier fehlt es jedenfalls schon an der ersten Voraussetzung, weil die geltend gemachten Ausstandsgründe mit den sehr speziellen Umständen des vorliegenden Falls zusammenhängen und in dieser Weise kaum je wieder vorkommen dürften. Aus den gleichen Gründen liegt hier auch kein Fall eines grundsätzlichen Problems vor, welches unabhängig von der Aktualität des Rechtsschutzinteresses einer Beantwortung bedürfte. Schliesslich kann der Beschwerdeführer die Frage, ob der Mitbeteiligte in den Ausstand hätte treten müssen, im Rahmen des Verfahrens betreffend seine Kündigung aufwerfen und werden die Rechtsmittelbehörden dies mit voller Kognition zu prüfen haben (dazu sogleich unter 6). Insofern lässt sich das Nichteintreten vorliegend auch mit der Garantie eines effektiven Rechtsschutzes (Art. 29a der Bundesverfassung vom 18. April 1999) vereinbaren (vgl. Marion Spori, Vereinbarkeit des Erfordernisses des aktuellen schutzwürdigen Interesses mit der Rechtsweggarantie von Art. 29a BV und dem Recht auf eine wirksame Beschwerde nach Art. 13 EMRK, AJP 2008, S. 147 ff., und dazu VGr, 30. Januar 2008, VB.2007.00419, E. 1.2 Abs. 3). Anzumerken bleibt, dass dem Beschwerdeführer freisteht, gegen das Vorgehen der Präsidentin des Beschwerdegegners – welches nach dem Gesagten einer unmittelbaren gerichtlichen Überprüfung entzogen ist – Aufsichtsbeschwerde beim Regierungsrat zu führen (vgl. § 26 Abs. 1 UniG; Kölz/Bosshart/Röhl, Vorbem. zu §§ 19–28 N. 29–45).</w:t>
      </w:r>
    </w:p>
    <w:p>
      <w:r>
        <w:rPr>
          <w:b/>
        </w:rPr>
        <w:t>E. 6</w:t>
      </w:r>
    </w:p>
    <w:p>
      <w:r>
        <w:t>Da es vorliegend dem Rechtsmittel schon im Zeitpunkt seiner Einreichung an einer Prozessvoraussetzung fehlte, ist darauf nicht einzutreten (Kölz/Bosshart/Röhl, Vorbem. zu §§ 19–28 N. 91). Wäre die Prozessvoraussetzung erst während des Verfahrens entfallen, wäre dieses wegen Gegenstandslosigkeit abzuschreiben gewesen (Kölz/Bosshart/Röhl, § 28 N. 11). Während Letzteres zur Folge hätte, dass die angefochtene Verfügung nicht in Rechtskraft erwüchse, tut sie dies prinzipiell bei Nichteintreten auf die Beschwerde (Kölz/Bosshart/Röhl, § 63 N. 1 und 3). Indes kann nicht der zufällige Zeitpunkt, in dem das Rechtsschutzinteresse nach Erlass der angefochtenen Verfügung entfällt, darüber entscheiden, ob die Ausgangsverfügung rechtskräftig werde oder nicht. Dies wäre vorliegend umso stossender, als gerade der Entzug der aufschiebenden Wirkung einer Beschwerde gegen die angefochtene Verfügung im Ergebnis dazu führte, dass das Rechtsschutzinteresse an einer Aufhebung derselben entfiel. Deswegen ist auf die Beschwerde in dem Sinn nicht einzutreten, dass sie bereits vor Einreichung gegenstandslos geworden ist; aus diesem Grund kann die angefochtene Verfügung nicht in Rechtskraft erwachsen (vgl. zum Ganzen RB 2007 Nr. 19 E. 2.1 und hierzu BGr, 7. Februar 2008, 2C_746/2007, E. 4). Entsprechend ist die angefochtene Verfügung im Rahmen des Rechtsmittelverfahrens gegen die Kündigungsverfügung vom 28. September 2012 unbeachtlich und werden die Rechtsmittelbehörden die Frage, ob die Mitwirkung des Mitbeteiligten einen formellen Mangel darstellt, gegebenenfalls mit voller Kognition zu prüfen haben.</w:t>
      </w:r>
    </w:p>
    <w:p>
      <w:r>
        <w:rPr>
          <w:b/>
        </w:rPr>
        <w:t>E. 7.1</w:t>
      </w:r>
    </w:p>
    <w:p>
      <w:r>
        <w:t>In personalrechtlichen Streitigkeiten mit einem Streitwert bis Fr. 30'000.- werden nach § 65a Abs. 3 VRG keine Gerichtskosten auferlegt. Bei Beschwerden gegen Zwischen­entscheide bestimmt sich der Streitwert nach den Begehren, die vor der Instanz streitig sind, bei der die Hauptsache hängig ist (RB 2008 Nr. 27; VGr, 16. November 2010, PB.2010.00045, E. 3 Abs. 1 mit Hinweisen; vgl. für das bundesgerichtliche Verfahren Art. 51 Abs. 1 lit. c BGG und hierzu Beat Rudin, Basler Kommentar, 2011, Art. 51 BGG N. 30–33). Stehen sich Haupt- und Eventualanträge gegenüber, bestimmt sich der Streitwert nach dem höheren Betrag (VGr, 1. April 2009, PB.2009.00002, E. 1.2 Abs. 3, und 18. April 2007, PB.2006.00044, E. 1.2 [jeweils mit Verweis auf Max Guldener, Schweizerisches Zivilprozessrecht, 3. A., Zürich 1979, S. 113 Anm. 32 am Ende]). Der Streitwert beträgt damit entsprechend der Summe der Eventualanträge in der Hauptsache Fr. 156'000.-, weshalb das Verfahren nicht kostenlos ist. Nach § 65a Abs. 2 in Verbindung mit § 13 Abs. 2 Satz 1 VRG sind die Gerichtkosten in erster Linie der unterliegenden Partei aufzuerlegen. Als unterliegend ist hier der Beschwerdeführer zu betrachten, da er mit seinen Anträgen nicht durchdringt (vgl. Kölz/ Boss­hart/Röhl, § 13 N. 15). Indessen können die Kosten des Verfahrens nach dem Verursacherprinzip auch jener Partei auferlegt werden, die es durch Verletzung von Verfahrensvorschriften verursacht hat; dies gilt auch bei deren Obsiegen dieser Partei (§ 65a Abs. 2 in Verbindung mit § 13 Abs. 2 Satz 2 VRG; Kölz/Bosshart/Röhl, § 13 N. 20–22). Gemäss § 5a Abs. 2 VRG entscheidet über ein strittiges Ausstandsbegehren die Aufsichtsbehörde oder, wenn es sich um den Ausstand eines Mitglieds einer Kollegialbehörde handelt, diese Behörde unter Ausschluss des betreffenden Mitglieds. Anstellungsorgan für das Universitätspersonal ist nach § 5 Abs. 1 der Personalverordnung der Universität Zürich vom 5. November 1999 (LS 415.21) die Universitätsleitung, welche damit auch zuständig für die Kündigung des Arbeitsverhältnisses ist (§ 2 der Personalverordnung in Verbindung mit § 18 Abs. 1 Satz 1 des Personalgesetzes vom 27. September 1998 [LS 177.10]). Die Universitätsleitung setzt sich aus der Rektorin oder dem Rektor, den Prorektorinnen und Prorektoren sowie der Verwaltungsdirektorin oder dem Verwaltungsdirektor zusammen (§ 31 Abs. 1 UniG). Damit handelt es sich bei der Universitätsleitung um eine Kollegialbehörde im Sinn von § 5a Abs. 2 VRG, die über Ausstandsbegehren gegen eines ihrer Mitglieder – hier des Rektors – unter Ausschluss desselben in eigener Kompetenz zu befinden hat. Nach dem Gesagten hätte die Universitätsleitung und nicht der Beschwerdegegner über das Ausstandsbegehren gegen den Mitbeteiligten entscheiden müssen. Demnach verfügte die Präsidentin des Beschwerdegegners, ohne in der Sache zuständig zu sein. Es rechtfertigt sich insofern, die Gerichtskosten dem Beschwerdegegner aufzuerlegen.</w:t>
      </w:r>
    </w:p>
    <w:p>
      <w:r>
        <w:rPr>
          <w:b/>
        </w:rPr>
        <w:t>E. 7.2</w:t>
      </w:r>
    </w:p>
    <w:p>
      <w:r>
        <w:t>Mangels Obsiegens ist dem Beschwerdeführer keine Parteientschädigung zuzusprechen (§ 17 Abs. 2 VRG).</w:t>
      </w:r>
    </w:p>
    <w:p>
      <w:r>
        <w:rPr>
          <w:b/>
        </w:rPr>
        <w:t>E. 8</w:t>
      </w:r>
    </w:p>
    <w:p>
      <w:r>
        <w:t>Gegen Rechtsmittelentscheide betreffend selbständig eröffnete Zwischenentscheide unter anderem über Ausstandsbegehren ist die Beschwerde in öffentlichrechtlichen Angelegenheiten nach Art. 82 ff. BGG zulässig (Art. 92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