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VB.2012.00670 vom 19. Mai 2011</w:t>
      </w:r>
    </w:p>
    <w:p>
      <w:r>
        <w:t>ZH Verwaltungsgericht, 2011-05-19, DE</w:t>
      </w:r>
    </w:p>
    <w:p>
      <w:r>
        <w:rPr>
          <w:b/>
        </w:rPr>
        <w:t xml:space="preserve">Quelle: </w:t>
      </w:r>
      <w:r>
        <w:t>https://mcp.opencaselaw.ch/entscheid/zh_verwaltungsgericht__VB.2012.00670</w:t>
      </w:r>
    </w:p>
    <w:p>
      <w:r>
        <w:t>FR: ZH_VERWALTUNGSGERICHT VB.2012.00670 du 19 mai 2011</w:t>
      </w:r>
    </w:p>
    <w:p>
      <w:r>
        <w:t>IT: ZH_VERWALTUNGSGERICHT VB.2012.00670 del 19 maggio 2011</w:t>
      </w:r>
    </w:p>
    <w:p>
      <w:pPr>
        <w:pStyle w:val="Heading2"/>
      </w:pPr>
      <w:r>
        <w:t>Regeste</w:t>
      </w:r>
    </w:p>
    <w:p>
      <w:r>
        <w:t>Nichtbestehen des Assessments | [Darf eine Prüfungsbehörde die Korrektur von Prüfungsantworten verweigern, welche nicht auf die vorgesehenen Lösungsblätter geschrieben worden waren?] Die aufschiebende Wirkung bezweckt gerade nicht, denjenigen Zustand herbeizuführen, der durch das Rechtsmittel erst erreicht werden soll. Die rekurrierende Partei soll mit anderen Worten nicht so gestellt werden, wie wenn ihrem Begehren stattgegeben worden wäre (E. 3.2). Soll bei einer negativen Verfügung einem abgewiesenen Gesuch vorläufig entsprochen werden, vermag einzig eine (positive) vorsorgliche Massnahme Abhilfe zu schaffen. In diesem Fall kommt die vorsorgliche Massnahme praktisch einer provisorischen Vorwegnahme der vom Rechtsmittelkläger begehrten Entscheidung gleich. Dies lässt sich von vornherein nur rechtfertigen, wenn das Begehren der rekurrierenden Partei ernsthafte Erfolgsaussichten besitzt (E. 3.3). Fehlen Vorschriften zu den Prüfungsmodalitäten sind die Prüfungsbehörden an die allgemeinen Rechtsgrundsätze und die Grundprinzipien des Verwaltungsrechts wie das Gebot der Gleichbehandlung, die Pflicht zur Wahrung der öffentlichen Interessen, das Gebot von Treu und Glauben und das Verhältnismässigkeitsprinzip gebunden. Bei der Beurteilung der Rechtmässigkeit eines Prüfungs- und Bewertungsverfahrens stehen das Gleichbehandlungsgebot und das Willkürverbot im Zentrum (E. 4.3). Es bestehen genügend sachliche Gründe, um den Studentinnen und Studenten das Verwenden separater Lösungsblätter vorzuschreiben (E. 5.2). Von den Studierenden einer Fachhochschule darf erwartet werden, dass sie die Prüfungsanweisungen sorgfältig durchlesen, ehe sie mit dem Lösen der einzelnen Aufgaben beginnen (E. 5.4). Wer sich grobfahrlässig über eindeutige Prüfungsanweisungen hinwegsetzt, muss die Konsequenzen seiner Nachlässigkeit tragen (E. 5.5). Abweisung.</w:t>
      </w:r>
    </w:p>
    <w:p>
      <w:pPr>
        <w:pStyle w:val="Heading2"/>
      </w:pPr>
      <w:r>
        <w:t>Erwägungen</w:t>
      </w:r>
    </w:p>
    <w:p>
      <w:r>
        <w:rPr>
          <w:b/>
        </w:rPr>
        <w:t>E. 6</w:t>
      </w:r>
    </w:p>
    <w:p>
      <w:r>
        <w:t>Ausgangsgemäss sind die Gerichtskosten der Beschwerdeführerin aufzuerlegen; eine Parteientschädigung kann nicht zugesprochen werden (§ 65a Abs. 2 in Verbindung mit § 13 Abs. 2 Satz 1 und § 17 Abs. 2 VRG).</w:t>
      </w:r>
    </w:p>
    <w:p>
      <w:r>
        <w:rPr>
          <w:b/>
        </w:rPr>
        <w:t>E. 7</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Gegenstand des Verfahrens sind, wird dies vom Ausschlussgrund nicht erfasst und steht die Beschwerde in öffentlichrechtlichen Angelegenheiten nach Art. 82 ff. BGG zur Verfügung (vgl. BGE 136 I 229 E. 1; BGr, 19. Mai 2011, 2D_7/2011, E. 1.1 f.; Thomas Häberli, Basler Kommentar, 2011, Art. 83 BGG N. 299). Ansonsten kann die subsidiäre Verfassungsbeschwerde gemäss Art. 113 ff. BGG ergriffen werden. Werden beide Rechtsmittel ergriffen, hat dies in der gleichen Rechtsschrift zu geschehen (Art. 119 Abs. 1 BGG). Da es sich vorliegend nicht um einen End-, sondern bloss um einen selbständig eröffneten Zwischenentscheid betreffend eine vorsorgliche Massnahme handelt, ist die Beschwerde an das Bundesgericht nur gegeben, wenn der vorliegende Entscheid einen nicht wiedergutzumachenden Nachteil bewirken kann (Art. 93 Abs. 1 lit. a BGG). Schliesslich ist auf Art. 98 BGG zu verweisen: Danach kann mit der Beschwerde gegen Entscheide über vorsorgliche Massnahmen nur die Verletzung verfassungsmässiger Rechte gerügt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