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VB.2012.00624 vom 23. August 2012</w:t>
      </w:r>
    </w:p>
    <w:p>
      <w:r>
        <w:t>ZH Verwaltungsgericht, 2012-08-23, DE</w:t>
      </w:r>
    </w:p>
    <w:p>
      <w:r>
        <w:rPr>
          <w:b/>
        </w:rPr>
        <w:t xml:space="preserve">Quelle: </w:t>
      </w:r>
      <w:r>
        <w:t>https://mcp.opencaselaw.ch/entscheid/zh_verwaltungsgericht__VB.2012.00624</w:t>
      </w:r>
    </w:p>
    <w:p>
      <w:r>
        <w:t>FR: ZH_VERWALTUNGSGERICHT VB.2012.00624 du 23 août 2012</w:t>
      </w:r>
    </w:p>
    <w:p>
      <w:r>
        <w:t>IT: ZH_VERWALTUNGSGERICHT VB.2012.00624 del 23 agosto 2012</w:t>
      </w:r>
    </w:p>
    <w:p>
      <w:pPr>
        <w:pStyle w:val="Heading2"/>
      </w:pPr>
      <w:r>
        <w:t>Regeste</w:t>
      </w:r>
    </w:p>
    <w:p>
      <w:r>
        <w:t>Fremdplatzierungskosten | Ausstand (prozessleitender Entscheid des Plenums) Die 3. Abteilung des Verwaltungsgericht hatte am 23. August 2012 eine Beschwerde (des Beschwerdegegners dieses Verfahrens) betreffend die Kostenübernahme durch die Gemeinde B abgewiesen, soweit darauf eingetreten wurde (VB.2012.00284). Infolgedessen erachtete die Beschwerdeführerin dieses Verfahrens, die anstelle der Gemeinde B zur Kostenübernahme verpflichtet wurde, die am Entscheid VB.2012.00284 Beteiligten als mit der Sache vorbefasst und stellte ein Ausstandsbegehren, das zur Behandlung an das Gesamtgericht überwiesen wurde. Denn § 21 lit. a Ziff. 3 OV VGr sieht vor, dass im Fall eines Ausstandsbegehrens gegen alle Mitglieder einer Kammer das Gesamtgericht ohne Mitwirkung der Betroffenen zu befinden hat. Nach der in Art. 30 Abs. 1 BV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erwähnte Garantie verletzt. Eine gewisse Besorgnis der Voreingenommenheit und damit Misstrauen gegenüber dem Gericht kann bei den Parteien immer dann entstehen,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das ihn nicht mehr als unvoreingenommen und dementsprechend das Verfahren als nicht mehr offen erscheinen lassen. Ob eine unzulässige, den Verfahrensausgang vorwegnehmende Vorbefassung eines Richters vorliegt, kann nicht generell gesagt werden; es ist vielmehr in jedem Einzelfall – anhand aller tatsächlichen undverfahrensrechtlichen Umstände (E. 2). Im hier zu beurteilenden Fall betraf die frühere Tätigkeit der abgelehnten Richterinnen und Richter zwar ebenfalls den gleichen Lebenssachverhalt und grundsätzlich den gleichen Streitgegenstand (in Bezug auf die rechtliche Anspruchsgrundlage), jedoch – auf Seite der ins Recht gefassten Gemeinwesen – unterschiedliche Parteien. Nach der Praxis des Verwaltungsgerichts bildet jedoch allein die Tatsache, dass ein Richter in einem früheren Verfahren zu Vorfragen Stellung genommen hat, die sich im neuen Verfahren wiederum stellen, noch keine unzulässige Vorbefassung (E. 2.2). Das erste, die Gemeinde B betreffende Urteil benennt zwar die Beschwerdeführerin in sozialhilfegesetzlicher Hinsicht als (bisherige) Unterstützungswohnsitzgemeinde, äussert sich indessen nicht in präjudizierender Weise zur Begründetheit und Tragweite allfälliger ihr gegenüber erhobener Ansprüche dieser Art. Vollständig offen lässt das Urteil die Frage, welches Gemeinwesen bezüglich der jugendhilferechtlichen Versorgertaxe (dem betreffenden Jugendheim gegenüber) leistungsverpflichtet wäre. Es ist damit in Bezug auf die von der Beschwerdeführerin im vorliegenden zweiten Verfahren aufgeworfenen tatsächlichen und rechtlichen Fragen von einer nach wie vor offenen, nicht vorbestimmten Ausgangslage auszugehen. Damit aber erscheinen die Mitglieder des damaligen Spruchkörpers nicht als durch die Vorbefassung voreingenommen, weshalb das Ausstandsgesuch der Beschwerdeführerin als unbegründet erscheint (E. 3). Abweisung.</w:t>
      </w:r>
    </w:p>
    <w:p>
      <w:pPr>
        <w:pStyle w:val="Heading2"/>
      </w:pPr>
      <w:r>
        <w:t>Erwägungen</w:t>
      </w:r>
    </w:p>
    <w:p>
      <w:r>
        <w:rPr>
          <w:b/>
        </w:rPr>
        <w:t>E. 3.1</w:t>
      </w:r>
    </w:p>
    <w:p>
      <w:r>
        <w:t>In ihrem die Gemeinde D (Kanton Zürich) betreffenden Urteil vom 23. August 2012 hat die Spruchkammer der 3. Abteilung, auf deren Mitglieder sich das vorliegende Ausstandsbegehren bezieht, die vom Betroffenen beantragte Übernahme der im Zusammenhang mit seinem Heimaufenthalt im Jugendheim G anfallenden Kosten im Wesentlichen vor dem Hintergrund zweier möglicher Anspruchsgrundlagen geprüft: Zum einen kam sie zum Ergebnis, dass der Gesuchsteller keinen Anspruch auf Zusprechung von Versorgertaxen nach der (kantonalen) Gesetzgebung über die Jugendheime (§ 7 des Gesetzes über die Jugendheime und die Pflegekinderfürsorge vom 1. April 1962 [JPG, LS 852.2]; §§ 17 und 18e insbesondere Abs. 2 [in der Fassung vom 5. Dezember 2007, OS 62 547] der Verordnung über die Jugendheime vom 4. Oktober 1962 [JHV, LS 852.21]) geltend machen könne, da einzig das Jugendheim selber, nicht jedoch ein Heiminsasse diese Taxe der zivilrechtlichen Wohnsitzgemeinde in Rechnung stellen könne. Entsprechend trat die Kammer bezüglich allfälliger Versorgertaxenansprüche mangels Legitimation des Gesuchstellers auf dessen Beschwerde nicht ein, ohne zu prüfen, gegen welches Gemeinwesen sich das Jugendheim G richten müsste, um einen solchen Anspruch geltend zu machen; ebenso liess die Kammer die Frage offen, welche Behörde als (versorgertaxenpflichtige) Zuweisungsbehörde zu gelten bzw. wo sich der zivilrechtliche Wohnsitz des Gesuchstellers befunden hätte (E. 3 des Urteils). Zum anderen prüfte die Kammer, inwieweit sich ein Anspruch auf finanzielle Leistungen für den Heimaufenthalt zugunsten des Gesuchstellers gegenüber der Gemeinde D (Kanton Zürich) gestützt auf sozialhilferechtliche Bestimmungen (§§ 14, 15 Abs. 2, 16a, 32 und 37 des Sozialhilfegesetzes vom 14. Juni 1981 [SHG, LS 851.1]; § 19 der Verordnung zum Sozialhilfegesetz vom 21. Oktober 1981 [SHV, LS 851.11] sowie Art. 7 des Bundesgesetzes vom 24. Juni 1977 über die Zuständigkeit für die Unterstützung Bedürftiger [Zuständigkeitsgesetz, ZUG; SR 851.1]) hätte ergeben können. Sie verneinte dies mit der Begründung, es sei unbestritten, dass der sozialhilferechtliche Unterstützungswohnsitz des Beschwerdeführers (gemäss Art. 7 Abs. 3 lit. c ZUG) seit 2010 in A (Kanton Zürich) liege. Demnach sei "die Stadt A (Kanton Zürich) als Unterstützungswohnsitz des Beschwerdeführers zuständig, die sozialhilferechtlich möglicherweise erforderlichen Massnahmen anzuordnen und – allenfalls im Rahmen einer subsidiären Kostengutsprache gemäss § 19 Abs. 2 SHV – zumindest so lange (vor-) zu finanzieren, bis das für die Finanzierung der Versorgertaxe im vorliegenden Fall zuständige Gemeinwesen feststeht" (E. 4.4 des Urteils). Im Weiteren hielt die Kammer aber fest, dass die Fürsorgebehörde A (Kanton Zürich) bis anhin lediglich jugendhilferechtliche Leistungen ausgeschlossen, nicht jedoch über sozialhilferechtliche Ansprüche befunden habe. Ausdrücklich wird im Urteil vom 23. August 2012 (in E. 4.5) darauf hingewiesen, "dass die Stadt A (Kanton Zürich) am vorliegenden Verfahren nicht beteiligt ist, sodass das Verwaltungsgericht allfällige Ansprüche des Beschwerdeführers gegenüber der Stadt A (Kanton Zürich) nicht überprüfen und ihr gegenüber keine verpflichtenden Anordnungen erlassen kann. Es ist Sache des Beschwerdeführers, bei der Fürsorgebehörde A (Kanton Zürich) um (vorläufige) Zahlung ausstehender und/oder künftiger Heimkosten zu ersuchen, soweit seine Heimplatzierung aus finanziellen Gründen gefährdet sein sollte".</w:t>
      </w:r>
    </w:p>
    <w:p>
      <w:r>
        <w:rPr>
          <w:b/>
        </w:rPr>
        <w:t>E. 3.2</w:t>
      </w:r>
    </w:p>
    <w:p>
      <w:r>
        <w:t>Entgegen der Meinung der beschwerdeführenden Stadt A (Kanton Zürich) vermögen die vorerwähnten Erwägungen im Hinblick auf das zweite, sie selber betreffende Verfahren nicht den Anschein einer Voreingenommenheit der Mitglieder des damaligen Spruchkörpers zu begründen. Dies gilt zunächst für die Ausführungen zur (fehlenden) Sachlegitimation des Beschwerdegegners als Heiminsasse zur Geltendmachung der Versorgertaxen, zumal die Frage, gegen welches Gemeinwesen das (berechtigte) Jugendheim seine diesbezüglichen Ansprüche zu richten hätte, ebenso offengelassen wurde wie jene nach den dort massgeblichen Anknüpfungskriterien (Zuweisungsbehörde bzw. zivilrechtlicher Wohnsitz des Betroffenen). Die diesbezügliche Sach- und Rechtslage erscheint damit – was die (originäre bzw. finale) Tragung der Versorgertaxen nach Massgabe der jugendheimrechtlichen Bestimmungen anbetrifft – im Hinblick auf künftige Verfahren weder im Allgemeinen noch zum Nachteil der Stadt A (Kanton Zürich) im Besonderen vorbestimmt. Darüber hinaus kann aber auch mit Bezug auf die Beurteilung allfälliger Ansprüche des damaligen Beschwerdeführers und heutigen Beschwerdegegners gestützt auf die Sozialhilfegesetzgebung nicht von einer präjudizierenden Festlegung der Kammer gesprochen werden. Um die gegenüber der Gemeinde D (Kanton Zürich) geltend gemachten Ansprüche des Betroffenen unter diesem Titel beurteilen zu können, kam die Kammer nicht umhin, als Vorfrage zu prüfen, ob sich dessen sozialhilferechtlicher Unterstützungswohnsitz in dieser oder einer anderen Gemeinde befindet. Dass sich die Kammer nicht bloss darauf beschränkte, die Unterstützungszuständigkeit D (Kanton Zürich)s zu verneinen, sondern diese positiv (wenn auch ohne vertiefte Prüfung) bei A (Kanton Zürich) liegend verortete, ist vor dem Hintergrund der Aktenlage zu erklären. Dieser zufolge war erstellt, dass die Stadt A (Kanton Zürich) dem Beschwerdegegner im Zusammenhang mit dessen Heimaufenthalt gewisse sozialhilferechtliche Unterstützungsleistungen (Übernahme von Nebenkosten und Beiträgen des Unterhaltsverpflichteten) ausgerichtet hatte und damit im massgeblichen Zeitraum unbestrittenermassen bereits selber als sozialhilferechtlich zuständiges Gemeinwesen in Erscheinung getreten war (vgl. unter anderem die Ausgangsverfügung der Stadt A (Kanton Zürich) vom 12. Juli 2012, S. 4 Ziff. 3, deren Leistungsentscheide vom 18. Juni 2012 und vom 18. April 2011 sowie deren Eingabe an die Sicherheitsdirektion vom 19. Januar 2012, S. 3 Ziff. 5 [VB.2012.00624). Auch im vorliegenden Verfahren räumt die Beschwerdeführerin wiederum ein, es sei unstreitig, dass sie eine sozialhilferechtliche Zuständigkeit treffe (VB.2012.00624). Abgesehen von dieser Feststellung, was den Unterstützungswohnsitz im Grundsatz anbetrifft, hielt sich die Kammer demgegenüber in Bezug auf die Tragweite der sich aus diesem Umstand allenfalls konkret ergebenden sozialhilferechtlichen Ansprüche im Zusammenhang mit den streitigen Kosten der Heimplatzierung bedeckt, indem sie von sozialhilferechtlich "möglicherweise" erforderlichen Massnahmen bzw. "allenfalls" im Rahmen einer subsidiären Kostengutsprache vorzufinanzierenden Leistungen sprach, um welche die Stadt A (Kanton Zürich) als Unterstützungswohnsitzgemeinde zu ersuchen wäre. Die Kammer betonte dabei insbesondere, gegenüber der an jenem Verfahren nicht beteiligten Stadt A (Kanton Zürich) könnten keine verpflichtenden Anordnungen getroffen werden. Der Hinweis, es sei Sache des (damaligen) Beschwerdeführers, im Fall einer gefährdeten Heimplatzierung die Fürsorgebehörde A (Kanton Zürich) um (vorläufige) Zahlung ausstehender und/oder künftiger Heimkosten zu ersuchen, betraf dabei – angesichts des Umstands, dass aus Sicht der Kammer zu jenem Zeitpunkt noch überhaupt kein Entscheid der Stadt A (Kanton Zürich) zu den geltend gemachten Ansprüchen in sozialhilferechtlicher Hinsicht vorlag – in erster Linie die weitere verfahrensrechtliche Vorgehensweise, wonach sich der Ansprecher zur Geltendmachung sozialhilferechtlicher Ansprüche an jenes Gemeinwesen zu richten hat, in welchem sich der diesbezügliche Unterstützungswohnsitz befindet. Zur Berechtigung und Tragweite allfälliger auf diesem Weg angemeldeter Forderungen äusserte sich die Kammer demgegenüber nicht, abgesehen vom aus einem zitierten früheren Präjudiz (VGr, 21. April 2011, VB.2010.00661) abgeleiteten Grundsatz, wonach das sozialhilferechtlich zuständige Gemeinwesen zur (Vor-)Finan­zierung durch subsidiäre Kostengutsprache angehalten werden könne, bis das zur Finanzierung der Versorgertaxe pflichtige Gemeinwesen feststehe. Eine derartige allgemein gehaltene, abstrakte Bezugnahme auf eine bisherige Rechtspraxis erscheint mit Blick auf die Garantie eines unvoreingenommenen Richters unproblematisch. Den Beteiligten im späteren Verfahren wird dadurch Raum gelassen, dem Gericht vorzutragen, inwieweit sich die konkreten Verhältnisse des Einzelfalles von jenen im zitierten (Grundsatz-)Entscheid unterscheiden und demgemäss in Bezug auf die Rechtsfolgen andere Schlüsse zu ziehen sind bzw. aus welchen Gründen überhaupt Anlass besteht, die betreffende Praxis zu überdenken oder aufzugeben. Darüber hinaus ist nicht ersichtlich und wird von der Beschwerdeführerin auch nicht dargetan, inwieweit sich der die Gemeinde D (Kanton Zürich) betreffende Kammerentscheid bzw. die ihm vorausgehende Präsidialverfügung bereits zu den von der Beschwerdeführerin im vorliegenden Verfahren als massgeblich erachteten Einwänden in präjudizierender Form geäussert haben soll, namentlich zur Frage, ob allenfalls ein ausserkantonales Platzierungsverhältnis zur Diskussion stehen könnte (was ohnehin in erster Linie den von der Kammer in jenem Entscheid nicht behandelten Aspekt des versorgertaxenpflichtigen Gemeinwesens im kantonal- oder interkantonal-heimrechtlichen Kontext betreffen würde) bzw. zur sozialhilferechtlichen Natur der Versorgertaxe im Allgemeinen und zur sozialhilferechtlichen Möglichkeit einer (Vor-)Finanzierung von Leistungen Dritter gegenüber Vierten im Besonderen.</w:t>
      </w:r>
    </w:p>
    <w:p>
      <w:r>
        <w:rPr>
          <w:b/>
        </w:rPr>
        <w:t>E. 3.3</w:t>
      </w:r>
    </w:p>
    <w:p>
      <w:r>
        <w:t>Worin schliesslich die als heikel erachteten "dezidierten Äusserungen" des Abteilungs- und Kammervorsitzenden liegen sollen und inwiefern diese in der in der Präsidialverfügung vom 25. Juni 2012 vorgetragenen Form geeignet wären, einen Anschein der Befangenheit des Vorsitzenden in Bezug auf das zweite Verfahren zu begründen, wird von der Beschwerdeführerin nicht im Einzelnen aufgezeigt. Die auf eine summarische Begründung beschränkten Ausführungen in der Präsidialverfügung stimmen im Wesentlichen mit jenen im späteren Kammerentscheid überein, weshalb auch in diesem Zusammenhang auf das Vorstehende (E. 3.2) verwiesen werden kann.</w:t>
      </w:r>
    </w:p>
    <w:p>
      <w:r>
        <w:rPr>
          <w:b/>
        </w:rPr>
        <w:t>E. 3.4</w:t>
      </w:r>
    </w:p>
    <w:p>
      <w:r>
        <w:t>Zusammenfassend bleibt damit festzuhalten, dass das erste, die Gemeinde D (Kanton Zürich) betreffende Urteil zwar die Stadt A (Kanton Zürich) in sozialhilfegesetzlicher Hinsicht als (bisherige) Unterstützungswohnsitzgemeinde benennt, sich indessen nicht in präjudizierender Weise zur Begründetheit und Tragweite allfälliger ihr gegenüber erhobener Ansprüche dieser Art äussert. Vollständig offen lässt das Urteil die Frage, welches Gemeinwesen bezüglich der jugendhilferechtlichen Versorgertaxe (dem betreffenden Jugendheim gegenüber) leistungsverpflichtet wäre. Es ist damit in Bezug auf die von der Beschwerdeführerin im vorliegenden zweiten Verfahren aufgeworfenen tatsächlichen und rechtlichen Fragen von einer nach wie vor offenen, nicht vorbestimmten Ausgangslage auszugehen. Damit aber erscheinen die Mitglieder des damaligen Spruchkörpers nicht als durch die Vorbefassung voreingenommen, weshalb das Ausstandsgesuch der Beschwerdeführerin als unbegründet erscheint.</w:t>
      </w:r>
    </w:p>
    <w:p>
      <w:r>
        <w:rPr>
          <w:b/>
        </w:rPr>
        <w:t>E. 3.5</w:t>
      </w:r>
    </w:p>
    <w:p>
      <w:r>
        <w:t>An diesem Ergebnis vermöchte schliesslich auch die seitens der Beschwerdeführerin der Spruchkammer vorgeworfene Gehörsverletzung durch Nichteinbezug ins verwaltungsgerichtliche Verfahren betreffend die Gemeinde D (Kanton Zürich) nichts zu ändern, selbst wenn man annähme, dass eine Beiladung der Beschwerdeführerin in jenes Verfahren hätte erfolgen müssen. Nach der Rechtsprechung vermag nicht jeder Fehler in der Verfahrensführung oder jeder materielle Fehler den Anschein der Befangenheit eines Richters oder eines gesamten Spruchkörpers zu begründen. Anders verhält es sich lediglich, wenn besonders krasse und wiederholte Irrtümer vorliegen, diese einer schweren Verletzung von Richterpflichten gleichkommen und sich einseitig zulasten einer der Prozessparteien auswirken können (BGr, 19. Januar 2007, 1P.743/2006, E. 3.2; vgl. auch BGE 125 I 119 E. 3e, 115 Ia 400 E. 3b; BGr, 6. Januar 2005, 1P.512/2004, E. 4.1, ZBl 106/2005 S. 327, sowie 22. November 2005, 1P.548/2005, E. 2.2; Kiener, S. 105 f.). Allgemeine Verfahrensverstösse sind demgegenüber im dazu vorgesehenen Rechtsmittelverfahren zu rügen und können grundsätzlich nicht als Begründung für eine Verletzung von Art. 30 Abs. 1 BV herangezogen werden (BGE 114 Ia 153 E. 3b/bb, 115 Ia 400 E. 3b in fine). Von einem schwerwiegenden Verfahrensfehler im vorgenannten Sinne kann im vorliegenden Zusammenhang nicht die Rede sein.</w:t>
      </w:r>
    </w:p>
    <w:p>
      <w:r>
        <w:rPr>
          <w:b/>
        </w:rPr>
        <w:t>E. 4</w:t>
      </w:r>
    </w:p>
    <w:p>
      <w:r>
        <w:t>Nach dem Gesagten ist das Ausstandsbegehren der Beschwerdeführerin abzuweisen. Damit geht das Dossier im Verfahren VB.2012.00624 zurück an den Präsidenten der 3. Abteilung zur weiteren Behandlung der Streitsache. Über die Kosten des vorliegenden Ausstandsverfahrens ist im Endentscheid zu befinden.</w:t>
      </w:r>
    </w:p>
    <w:p>
      <w:r>
        <w:rPr>
          <w:b/>
        </w:rPr>
        <w:t>E. 5</w:t>
      </w:r>
    </w:p>
    <w:p>
      <w:r>
        <w:t>Beim vorliegenden Beschluss handelt es sich um einen selbständig eröffneten Zwischenentscheid über ein Ausstandsbegehren, gegen welchen die Beschwerde in öffentlich-rechtlichen Angelegenheiten gemäss Art. 82 ff. des Bundesgerichtsgesetzes (BGG, SR 173.110) an das Bundesgericht zulässig ist (Art. 92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