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VB.2012.00554 vom 6. Februar 2013</w:t>
      </w:r>
    </w:p>
    <w:p>
      <w:r>
        <w:t>ZH Verwaltungsgericht, 2013-02-06, DE</w:t>
      </w:r>
    </w:p>
    <w:p>
      <w:r>
        <w:rPr>
          <w:b/>
        </w:rPr>
        <w:t xml:space="preserve">Quelle: </w:t>
      </w:r>
      <w:r>
        <w:t>https://mcp.opencaselaw.ch/entscheid/zh_verwaltungsgericht__VB.2012.00554</w:t>
      </w:r>
    </w:p>
    <w:p>
      <w:r>
        <w:t>FR: ZH_VERWALTUNGSGERICHT VB.2012.00554 du 6 février 2013</w:t>
      </w:r>
    </w:p>
    <w:p>
      <w:r>
        <w:t>IT: ZH_VERWALTUNGSGERICHT VB.2012.00554 del 6 febbraio 2013</w:t>
      </w:r>
    </w:p>
    <w:p>
      <w:pPr>
        <w:pStyle w:val="Heading2"/>
      </w:pPr>
      <w:r>
        <w:t>Regeste</w:t>
      </w:r>
    </w:p>
    <w:p>
      <w:r>
        <w:t>Auflösung des Arbeitsverhältnisses | [Unter welchen Voraussetzungen kann einer Arbeitnehmerin oder einem Arbeitnehmer aufgrund eines vordienstlichen Fehlverhaltens gekündigt werden?] Eine tief greifende Störung oder der Verlust des Vertrauens im Arbeitsverhältnis kann einen sachlichen Grund für eine Kündigung darstellen. Jedoch dürfen nicht unter Hinweis auf fehlendes Vertrauen Kündigungsschutzvorschriften umgangen werden (E. 2.3). Rechtmässig ist eine Kündigung nur dann, wenn sie wegen einer Eigenschaft erfolgt, die einen rechtsgenügenden Zusammenhang mit dem Arbeitsverhältnis aufweist. Ein derartiger Zusammenhang ist vor allem dann gegeben, wenn solche Eigenschaften die Arbeits-, Sorgfalts- und Treuepflicht des Arbeitnehmers berühren oder wenn sie erkennbare Voraussetzung für die Anstellung gebildet haben (E. 3.3). Vorliegend sind diese Voraussetzungen nicht erfüllt (E. 3.4-7). Gutheissung.</w:t>
      </w:r>
    </w:p>
    <w:p>
      <w:pPr>
        <w:pStyle w:val="Heading2"/>
      </w:pPr>
      <w:r>
        <w:t>Erwägungen</w:t>
      </w:r>
    </w:p>
    <w:p>
      <w:r>
        <w:rPr>
          <w:b/>
        </w:rPr>
        <w:t>E. 4</w:t>
      </w:r>
    </w:p>
    <w:p>
      <w:r>
        <w:t>Erweist sich die Kündigung als nicht gerechtfertigt, stellt die Rechtsmittelinstanz dies fest (§ 63 Abs. 3 in Verbindung mit § 27a Abs. 1 VRG); wird der oder die Angestellte nicht wiedereingestellt, so bemisst sich die Entschädigung nach den Bestimmungen des Obligationenrechts über die missbräuchliche Kündigung (§ 18 Abs. 3 Satz 1 PG). Gemäss Art. 336a Abs. 2 Satz 1 OR wird die Höhe der Entschädigung vom Gericht unter Würdigung aller Umstände festgesetzt, darf aber den Betrag nicht übersteigen, der dem Lohn des Arbeitnehmers für sechs Monate entspricht. Diesbezüglich gilt es zu berücksichtigen, dass die fünfzigjährige Beschwerdeführerin offenbar nicht leicht eine neue Stelle finden kann, wie sich auch aus ihrer vorherigen, länger andauernden Arbeitslosigkeit ergibt. Die beantragte Entschädigung in der Höhe von zweieinhalb Bruttomonatslöhnen erweist sich als angemessen. Die Beschwerdeführerin verdiente zuletzt Fr. 88'374.-, so dass die Pönale auf Fr. 18'411.25 festzusetzen ist ([Fr. 88'374.- : 12] x 2.5). Auf diesen Betrag sind keine Sozialversicherungsbeiträge zu entrichten (VGr, 8. August 2006, PB.2006.00017, E. 4 mit Hinweisen). Der Schuldner einer öffentlichrechtlichen Forderung schuldet ab dem Datum der Mahnung Verzugszins von 5 % (§ 29a Abs. 2 Satz 2 VRG). Als Mahnung gilt die gehörige Geltendmachung eines Anspruchs (vgl. René Rhinow/Beat Krähenmann, Schweizerische Verwaltungsrechtsprechung, Ergänzungsband, Basel/Frankfurt a.M. 1990, Nr. 31 B IV). Sie muss die klare Willensäusserung des Gläubigers ausdrücken, die geschul­dete Leistung zu bekommen (vgl. Rolf Weber, Berner Kommentar, 2000, Art. 102 OR N. 66 ff.). Dies trifft auf das im Rekurs vom 30. Juni 2011 gestellte Eventualbegehren zu, es sei der Beschwerdeführerin eine angemessene Entschädigung zuzusprechen. Antragsgemäss ist daher ab dem 31. August 2011 Verzugszins von 5 % geschuldet.</w:t>
      </w:r>
    </w:p>
    <w:p>
      <w:r>
        <w:rPr>
          <w:b/>
        </w:rPr>
        <w:t>E. 5</w:t>
      </w:r>
    </w:p>
    <w:p>
      <w:r>
        <w:t>Der Streitwert beträgt Fr. 18'411.25 und damit weniger als Fr. 30'000.-. Gemäss § 65a Abs. 3 VRG werden keine Gerichtskosten erhoben. Im Rekursverfahren und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 Angesichts der sich im Beschwerdeverfahren stellenden komplexen rechtlichen Fragen ist der obsiegenden Beschwerdeführerin eine Parteientschädigung zuzusprechen. Demgegenüber hat sie im Rekursverfahren nicht überwiegend obsiegt und folglich keinen Anspruch auf eine Parteientschädigung.</w:t>
      </w:r>
    </w:p>
    <w:p>
      <w:r>
        <w:rPr>
          <w:b/>
        </w:rPr>
        <w:t>E. 6</w:t>
      </w:r>
    </w:p>
    <w:p>
      <w:r>
        <w:t>Der Streitwert beträgt nach Auffassung des Verwaltungsgerichts mehr als Fr. 15'000.-. Entsprechend ist gegen das vorliegende Urteil die Beschwerde in öffentlichrechtlichen Angelegenheiten zulässig (Art. 74 Abs. 1 lit. a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