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VB.2012.00457 vom 18. September 2009</w:t>
      </w:r>
    </w:p>
    <w:p>
      <w:r>
        <w:t>ZH Verwaltungsgericht, 2009-09-18, DE</w:t>
      </w:r>
    </w:p>
    <w:p>
      <w:r>
        <w:rPr>
          <w:b/>
        </w:rPr>
        <w:t xml:space="preserve">Quelle: </w:t>
      </w:r>
      <w:r>
        <w:t>https://mcp.opencaselaw.ch/entscheid/zh_verwaltungsgericht__VB.2012.00457</w:t>
      </w:r>
    </w:p>
    <w:p>
      <w:r>
        <w:t>FR: ZH_VERWALTUNGSGERICHT VB.2012.00457 du 18 septembre 2009</w:t>
      </w:r>
    </w:p>
    <w:p>
      <w:r>
        <w:t>IT: ZH_VERWALTUNGSGERICHT VB.2012.00457 del 18 settembre 2009</w:t>
      </w:r>
    </w:p>
    <w:p>
      <w:pPr>
        <w:pStyle w:val="Heading2"/>
      </w:pPr>
      <w:r>
        <w:t>Regeste</w:t>
      </w:r>
    </w:p>
    <w:p>
      <w:r>
        <w:t>Aufenthalt mit Erwerbstätigkeit, arbeitsmarktlicher Vorentscheid | [Unter welchen Voraussetzungen besteht ein gesamtwirtschaftliches Interesse an der Zulassung eines ausländischen Informatikers zur Ausübung einer Erwerbstätigkeit in der Schweiz?] Negative arbeitsmarktliche Vorentscheide gelten, wenn - wie im Kanton Zürich - unterschiedliche Behörden für die Zulassung zur Erwerbstätigkeit und die Erteilung der Kurzaufenthalts- oder Aufenthaltsbewilligung zuständig sind, als selbständig anfechtbar. Ob es sich dabei verwaltungsprozessrechtlich um (verfahrensabschliessende) End- oder aber um (selbständig eröffnete) Vor- oder Zwischenentscheide handelt, welche der Beschwerde an das Verwaltungsgericht an sich nur unter den Voraussetzungen von Art. 92 f. BGG unterlägen, bedarf keiner abschliessenden Beurteilung (E. 1.2). Streitgegenstand im Beschwerdeverfahren gegen (selbständig eröffnete) arbeitsmarktliche Vorentscheide bildet nicht die anbegehrte Anwesenheitsbewilligung (Aufenthalts- oder Kurzaufenthaltsbewilligung) als solche, sondern einzig der Entscheid über die Zulassung zur Erwerbstätigkeit (E. 1.3). Da weder ein Staatsvertrag noch Art. 42-52 AuG dem Beschwerdeführer einen Anspruch auf Aufenthalt zur Ausübung einer Erwerbstätigkeit einräumen, liegt die Erteilung einer Aufenthaltsbewilligung (Art. 33 AuG) bzw. die Verlängerung oder Erneuerung der Kurzaufenthaltsbewilligung (Art. 32 AuG) für den Beschwerdeführer im Rahmen des fremdenpolizeilichen Ermessens (Art. 96 Abs. 1 AuG), wobei die Grundsätze von Art. 3 Abs. 1 und 3 AuG zu beachten sind (E. 2.1). Allein der Umstand, dass die Erwerbstätigkeit des Beschwerdeführers bzw. das Geschäftsfeld der Beschwerdeführerin der IT-Branche zuzuordnen ist, für deren Leistungen im Allgemeinen aus gesamtwirtschaftlicher Sicht derzeit kein Überangebot bestehen dürfte, führt nicht zwingend dazu, dass dem Zulassungsgesuch aufgrund dieser abstrakten Markteinschätzung unabhängig von den in Frage stehenden konkreten betrieblichen Verhältnissen entsprochen werden müsste. Vielmehr war es denVorinstanzen unbenommen, die Geschäftstätigkeit der Beschwerdeführenden im Einzelnen zu begutachten. Vorliegend sprechen die Geschäftszahlen nicht dafür, dass für die von den Beschwerdeführenden angebotenen Leistungen eine starke Nachfrage bestünde (E. 2.2). Abweisung soweit Eintreten.</w:t>
      </w:r>
    </w:p>
    <w:p>
      <w:pPr>
        <w:pStyle w:val="Heading2"/>
      </w:pPr>
      <w:r>
        <w:t>Erwägungen</w:t>
      </w:r>
    </w:p>
    <w:p>
      <w:r>
        <w:rPr>
          <w:b/>
        </w:rPr>
        <w:t>E. 4</w:t>
      </w:r>
    </w:p>
    <w:p>
      <w:r>
        <w:t>Zur Rechtsmittelbelehrung des nachstehenden Dispositivs ist Folgendes zu erläutern: Soweit hinsichtlich Erwerbstätigkeit oder Aufenthalt ein Bewilligungsanspruch geltend gemacht werden will, ist Beschwerde in öffentlichrechtlichen Angelegenheiten nach Art. 82 ff. BGG zu erheben (vgl. BGr, 18. Juni 2007, 2D_3/2007 bzw. 2C_126/2007, E. 2.2; vgl. Art. 83 lit. c Ziff. 2 BGG). Ansonsten steht die subsidiäre Verfassungsbeschwerde gemäss Art. 113 ff. BGG offen (vgl. in diesem Zusammenhang BGr, 18. September 2009, 2C_583/2009, E. 2).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