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VB.2012.00414 vom 28. Februar 2013</w:t>
      </w:r>
    </w:p>
    <w:p>
      <w:r>
        <w:t>ZH Verwaltungsgericht, 2013-02-28, DE</w:t>
      </w:r>
    </w:p>
    <w:p>
      <w:r>
        <w:rPr>
          <w:b/>
        </w:rPr>
        <w:t xml:space="preserve">Quelle: </w:t>
      </w:r>
      <w:r>
        <w:t>https://mcp.opencaselaw.ch/entscheid/zh_verwaltungsgericht__VB.2012.00414</w:t>
      </w:r>
    </w:p>
    <w:p>
      <w:r>
        <w:t>FR: ZH_VERWALTUNGSGERICHT VB.2012.00414 du 28 février 2013</w:t>
      </w:r>
    </w:p>
    <w:p>
      <w:r>
        <w:t>IT: ZH_VERWALTUNGSGERICHT VB.2012.00414 del 28 febbraio 2013</w:t>
      </w:r>
    </w:p>
    <w:p>
      <w:pPr>
        <w:pStyle w:val="Heading2"/>
      </w:pPr>
      <w:r>
        <w:t>Regeste</w:t>
      </w:r>
    </w:p>
    <w:p>
      <w:r>
        <w:t>Gebühren Wiederaufnahme von VB.2010.00546 | Überprüfung der Rechtmässigkeit der Auferlegung von Kosten in Höhe von insgesamt Fr. 600.- für die Einsichtnahme eines Versicherers in verschiedene Unterlagen eines Strafverfahrens zur Bearbeitung eines Schadensfalls. Streitgegenstand (E. 1.3). (Kanzlei-)Gebühren von geringfügiger Höhe bedürfen keiner formell-gesetzlichen Grundlage (E. 2.2). Nach der Rechtsprechung ist die Kanzleigebühr eine Unterart der Verwaltungsgebühr, die sich durch die Natur der der Gebühr zugrunde liegenden Tätigkeit sowie die (relativ) geringfügige Höhe der Abgabe auszeichnet (E. 3.1). Die von der Beschwerdegegnerin vorliegend erbrachte Dienstleistung kann als einfache (Kanzlei-)Tätigkeit qualifiziert werden, womit die erste für die Qualifikation als Kanzleigebühr notwendige Voraussetzung erfüllt ist (E. 3.2). Rechtsprechung zur Frage, was noch als geringfügiger Betrag gelten und somit als Kanzleigebühr qualifiziert werden kann (E. 3.3). Für die Beurteilung der Gebühr sind vor dem Hintergrund der aktuellen volkswirtschaftlichen Verhältnisse letztlich die Umstände des konkret zu beurteilenden Einzelfalls massgebend (E. 3.4). Stehen die Bedürfnisse der Praktikabilität einer übermässigen Begrenzung des Ausnahmetatbestands der geringen Höhe entgegen, widerspräche es andererseits Sinn und Zweck des abgaberechtlichen Legalitätsprinzips, je nach wirtschaftlicher Situation des jeweiligen Gebührenpflichtigen auch substanzielle Beträge als (subjektiv) geringfügig anzusehen (E. 3.5). Aus diesen Gründen kann die vorliegend infrage stehende Abgabe nicht mehr als geringfügig bezeichnet werden. Sie kann demzufolge nicht mehr als blosse Kanzleigebühr qualifiziert werden (E. 3.6). Weisen die von der Behörde erbrachten Leistungen - wie vorliegend - einen inneren Zusammenhang auf, ist auf die insgesamt erhobene Gebühr als Ganzes abzustellen (E. 3.7). Die im Zeitpunkt der Gebührenerhebung noch geltende Verordnung über die Gebühren- und Entschädigungsansätze scheidet demnach für sich allein als genügendegesetzliche Grundlage aus (E. 3.8). Die Beschwerdeführerin erlangte in dem bei der Beschwerdegegnerin laufenden Strafverfahren keine Parteistellung. Demgemäss war das Gerichtsverfassungsgesetz vom 13. Juni 1976 im vorliegenden Fall keine genügende Grundlage für den Erlass der Gebühren- und Entschädigungsverordnung (E. 4.2). Im Zeitpunkt des Akteneinsichtsgesuchs der Beschwerdeführerin war die von der Beschwerdegegnerin durchgeführte Strafuntersuchung noch am Laufen, weshalb das Gesetz über die Information und den Datenschutz vom 12. Februar 2007 ebenfalls keine genügende gesetzliche Grundlage für die Erhebung der fraglichen Gebühr darstellt. Für den Erlass der Gebührenverfügung bestand damit keine genügende formell-gesetzliche Grundlage (E. 4.3). Gutheissung der Beschwerde. Minderheitsbegründung. Minderheitsantrag.</w:t>
      </w:r>
    </w:p>
    <w:p>
      <w:pPr>
        <w:pStyle w:val="Heading2"/>
      </w:pPr>
      <w:r>
        <w:t>Erwägungen</w:t>
      </w:r>
    </w:p>
    <w:p>
      <w:r>
        <w:rPr>
          <w:b/>
        </w:rPr>
        <w:t>E. 1</w:t>
      </w:r>
    </w:p>
    <w:p>
      <w:r>
        <w:t>Die Frage, ob eine Gebühr von geringer Höhe im Sinn von Art. 38 Abs. 1 lit. d KV bzw. eine Kanzleigebühr vorliegt, darf sich nicht allein am Gesamtbetrag einer im konkreten Fall erhobenen Gebühr messen; andernfalls könnte unter Umstanden die identische Gebühr (z. B. die Kopie eines ärztlichen Berichts für Fr. 50.-) im einen Fall als Kanzleigebühr und im anderen Fall, wo sich die Gebühr mit weiteren Gebühren gemäss aGebV SVB addiert, nicht als solche qualifiziert werden. Es sollte demnach nicht einzig auf die Gesamtgebührenhöhe im Einzelfall abgestellt werden, sondern vor allem darauf, ob mit der Gebühr auch nur gerade ein Entgelt für die beanspruchte einfache Kanzleitätigkeit verlangt wird. Sobald das Gemeinwesen jedoch nur aus Anlass einer solchen einfachen Kanzleitätigkeit eine Gebühr erhebt, um eine vorgängig erbrachte komplexere Verwaltungstätigkeit zu finanzieren oder zu amortisieren, erscheint die Gebühr ihrem Wesen nach nicht mehr als geringfügige Kanzleigebühr und bedarf einer gesetzlichen Grundlage.</w:t>
      </w:r>
    </w:p>
    <w:p>
      <w:r>
        <w:rPr>
          <w:b/>
        </w:rPr>
        <w:t>E. 2</w:t>
      </w:r>
    </w:p>
    <w:p>
      <w:r>
        <w:t>Die Beschwerdeführerin rügt die vorgenommene Qualifizierung aufgrund der Höhe des streitbetroffenen Betrags, der nicht mehr als bescheiden gelten könne. Der Rechtsprechung des Bundesgerichts lässt sich jedoch keine betragsmässige obere Grenze für Kanzleigebühren entnehmen (vgl. auch E. 3.3 und 3.5). Die von der Beschwerdeführerin aufgelisteten Entscheide enthalten überdies keine einschlägigen Sachverhalte, die Aufschluss darüber geben könnten, welcher Betrag für die Gewährung der Akteneinsicht gegenüber Dritten noch als "bescheiden" eingestuft werden könnte: BGE 125 I 173 betraf Kosten in Höhe von Fr. 200.- für die Durchführung eines Zulassungstests für das Studium der Human-, Zahn- und Veterinärmedizin, die das Bundesgericht "kaum als bescheiden" beurteilte, "zumal für Studienanfänger, welche typischerweise kein oder nur ein geringes Einkommen" hätten (E. 9b). In BGE 75 I 114 ff. erklärte das Bundesgericht die Gebühr für eine Berufsbewilligung in Höhe von Fr. 130.- nebst Kanzleiauslagen als übersetzt und daher unzulässig. Gleich verhielt es sich mit einer solchen von Fr. 60.- für die Kontrolle des Gutachtens über die Zulassung kontrollpflichtiger Heilmittel (BGE 81 I 351 E. 4). Zumindest kann es sich bei einer seitens des kantonalen Verhöramts erhobenen Gebühr in der Höhe von Fr. 4'400.- für die Einsicht in den Bericht des forensisch-wissenschaftlichen Dienstes nicht mehr um eine Kanzleigebühr handeln, weil weit über dem bescheidenen Rahmen liegend (BGr, 3. März 2009, 2C_729/2008, E. 4.5). Im Übrigen ist darauf hinzuweisen, dass einzelne, für mehrere Amtshandlungen geschuldete Kanzleigebühren – wie Fotokopiergebühren oder Akteneinsicht in mehrere Akten – in ihrer Gesamtheit zur Auferlegung umfangreicherer Abgaben führen können (vgl. Widmer, S. 71). Dies ist auch vorliegend der Fall, forderte die Beschwerdeführerin immerhin Akteneinsicht in elf Aktenstücke, wovon die Beschwerdegegnerin in der Folge Kopien anfertigen musste. Der arbeitstechnische Zeitaufwand der Beschwerdegegnerin und deren Sekretariat belief sich dabei auf 30 Minuten bzw. auf eine Stunde und fünf Minuten.</w:t>
      </w:r>
    </w:p>
    <w:p>
      <w:r>
        <w:rPr>
          <w:b/>
        </w:rPr>
        <w:t>E. 3</w:t>
      </w:r>
    </w:p>
    <w:p>
      <w:r>
        <w:t>Im Zusammenhang mit dem auch für Kanzleigebühren geltenden Kostendeckungsprinzip (vgl. BGE 132 II 371 E. 2.1; 132 II 47 E. 4.1) kritisiert die Beschwerdeführerin zu Unrecht, der von der Vorinstanz vorgenommene Verweis auf das Gesamtdefizit der gesamten Strafverfolgungsbehörden des Kantons Zürich sei unzulässig. Vielmehr stellen die genannten Behörden einen bestimmten Verwaltungszweig dar, der sich nach sachlich zusammengehörenden Verwaltungsaufgaben, nämlich der Strafverfolgung von Erwachsenen, definiert (vgl. BGE 126 I 180 E. 3b/cc). Unter Hinweis auf die erwirtschafteten, im Geschäftsbericht des Regierungsrats ausgewiesenen Defizite dieses Verwaltungszweigs in den Jahren vor Beginn der die Beschwerdeführerin interessierenden Strafuntersuchung (vgl. Geschäftsbericht 2009 des Regierungsrats des Kantons Zürich, Staatskanzlei und Direktionen, S. 62 f.) durfte die Vorinstanz somit ohne Weiteres davon ausgehen, dass die Beschwerdegegnerin bei der streitbetroffenen Gebührenerhebung das Kostendeckungsprinzip einhielt.</w:t>
      </w:r>
    </w:p>
    <w:p>
      <w:r>
        <w:rPr>
          <w:b/>
        </w:rPr>
        <w:t>E. 4</w:t>
      </w:r>
    </w:p>
    <w:p>
      <w:r>
        <w:t>Mit der Beschwerdegegnerin ist schliesslich festzustellen, dass die Beschwerdeführerin, die als Dritte in ihrem eigenen Interessen um Akteneinsicht ersuchte, mit den von ihr angeforderten Dokumenten zu den für die Klärung des Versicherungsfalls benötigten Informationen kommen konnte, ohne dabei erhebliche Kosten infolge Erteilung von Gutachteraufträgen zu Marktpreisen tragen zu müssen. Die Edition der besagten Dokumente, deren Erstellung teilweise mit einem erheblichen Aufwand anderer Behörden sowie Dritter/Privater verbunden war, brachte der Beschwerdeführerin somit einen wirtschaftlichen, bezifferbaren Vorteil. Die einzelnen Kostenstellen entsprechen zudem den Weisungen der Vorinstanz. Aufgrund des betriebenen Aufwands der Beschwerdegegnerin und nach Massgabe der dem Verwaltungsgericht in der Angelegenheit zukommenden beschränkten Kognition (§ 50 in Verbindung mit § 20 Abs. 1 lit. a und b VRG) ist der für die Akteneinsicht eingeforderte Betrag in Höhe von Fr. 600.- im Übrigen nicht zu beanstanden, zumal nach Massgabe von § 11 Abs. 1 Satz aGebV SVB jedenfalls eine Gebühr bis zu Fr. 1'000.- eingefordert werden könnte. Folglich ist nicht ersichtlich, dass das Äquivalenzprinzip im vorliegenden Fall verletzt wäre. Unter diesen Umständen erscheint es als rechtmässig, dass die Beschwerdeführerin im Rahmen der ihr gewährten Akteneinsicht Kosten in Höhe von insgesamt Fr. 600.- auferlegt wurden. Die Beschwerde ist daher abzuweisen, unter den erwähnten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