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VB.2012.00381 vom 11. Juli 2012</w:t>
      </w:r>
    </w:p>
    <w:p>
      <w:r>
        <w:t>ZH Verwaltungsgericht, 2012-07-11, DE</w:t>
      </w:r>
    </w:p>
    <w:p>
      <w:r>
        <w:rPr>
          <w:b/>
        </w:rPr>
        <w:t xml:space="preserve">Quelle: </w:t>
      </w:r>
      <w:r>
        <w:t>https://mcp.opencaselaw.ch/entscheid/zh_verwaltungsgericht__VB.2012.00381</w:t>
      </w:r>
    </w:p>
    <w:p>
      <w:r>
        <w:t>FR: ZH_VERWALTUNGSGERICHT VB.2012.00381 du 11 juillet 2012</w:t>
      </w:r>
    </w:p>
    <w:p>
      <w:r>
        <w:t>IT: ZH_VERWALTUNGSGERICHT VB.2012.00381 del 11 luglio 2012</w:t>
      </w:r>
    </w:p>
    <w:p>
      <w:pPr>
        <w:pStyle w:val="Heading2"/>
      </w:pPr>
      <w:r>
        <w:t>Regeste</w:t>
      </w:r>
    </w:p>
    <w:p>
      <w:r>
        <w:t>Ersatzwahl (Rekurs in Stimmrechtssachen) | Mit der Stimmrechtsbeschwerde können alle Verletzungen der politischen Rechte oder der Bestimmungen über ihre Ausübung gerügt werden. Dabei spielt es keine Rolle, ob es sich um materiell- oder verfahrensrechtliche Normen handelt (E. 3.3). In ein Bezirksrichteramt kann nur eine Person gewählt werden, die ihren politischen Wohnsitz im Kanton Zürich hat (§ 23 Abs. 1 GPR). Gemäss § 3 Abs. 2 GPR in Verbindung mit Art. 3 Abs. 1 Satz 1 BPR hat eine stimmberechtigte Person ihren politischen Wohnsitz in derjenigen Gemeinde, wo sie wohnt und angemeldet ist. Der politische Wohnsitz bestimmt sich somit nach zwei Kriterien, die kumulativ erfüllt sein müssen: Zum einen muss die stimmberechtigte Person in der entsprechenden Gemeinde ihren zivilrechtlichen Wohnsitz haben. Dieser befindet sich an dem Ort, wo sie sich mit der Absicht dauernden Verbleibens aufhält (vgl. Art. 23 Abs. 1 ZGB). Und zum andern wird vorausgesetzt, dass sich die Stimmbürgerin oder der Stimmbürger an diesem Ort mit dem Heimatschein angemeldet hat (E. 3.6). Es ist möglich, einen politischen Wohnsitz zu haben, der nicht dem zivilrechtlichen entspricht. Dies trifft auf Fahrende zu, welche in ihrer Heimatgemeinde stimmen (Art. 3 Abs. 1 Satz 2 BPR). Weiter können Bevormundete, Wochenaufenthalter sowie Ehegatten, die sich mit dem Einverständnis des Ehepartners, auf richterliche Anordnung hin oder aufgrund unmittelbarer gesetzlicher Befugnis mit der Absicht dauernden Verbleibens ausserhalb des gemeinsamen Haushaltes aufhalten, einen politischen Wohnsitz haben, der nicht mit dem zivilrechtlichen übereinstimmt. Auch bleibt der politische Wohnsitz nicht wie der zivilrechtliche bis zur Begründung eines neuen bestehen (Art. 24 Abs. 1 ZGB), sondern wird mit der Aushändigung des Heimatscheins sofort aufgehoben (E. 3.8). Abweisung.</w:t>
      </w:r>
    </w:p>
    <w:p>
      <w:pPr>
        <w:pStyle w:val="Heading2"/>
      </w:pPr>
      <w:r>
        <w:t>Erwägungen</w:t>
      </w:r>
    </w:p>
    <w:p>
      <w:r>
        <w:rPr>
          <w:b/>
        </w:rPr>
        <w:t>E. 4</w:t>
      </w:r>
    </w:p>
    <w:p>
      <w:r>
        <w:t>Ich sei mit den anderen Kandidaten betreffend gewählt und Lohnzahlung gleichzustellen.</w:t>
      </w:r>
    </w:p>
    <w:p>
      <w:r>
        <w:rPr>
          <w:b/>
        </w:rPr>
        <w:t>E. 5</w:t>
      </w:r>
    </w:p>
    <w:p>
      <w:r>
        <w:t>Nach dem Gesagten ist die Beschwerde abzuweisen, soweit darauf einzutreten ist.</w:t>
      </w:r>
    </w:p>
    <w:p>
      <w:r>
        <w:rPr>
          <w:b/>
        </w:rPr>
        <w:t>E. 6</w:t>
      </w:r>
    </w:p>
    <w:p>
      <w:r>
        <w:t>In Stimmrechtssachen werden keine Kosten erhoben, es sei denn, das Rechtsmittel erweise sich als offensichtlich aussichtslos (§ 65a Abs. 2 in Verbindung mit § 13 Abs. 4 VRG). Der Beschwerdeführer wiederholt in seiner Beschwerde im Wesentlichen die bereits bei der Vorinstanz vorgebrachten Argumente, wonach sein politischer Wohnsitz in X und/oder Q liege; sachdienliche neue Beweismittel reichte er keine ein. Ob eine Person in einer bestimmten Gemeinde politischen Wohnsitz hat oder nicht, hängt von einem formellen und damit leicht überprüfbaren Kriterium ab: Massgeblich ist die Anmeldung. Sowohl die Abklärungen des Beschwerdegegners wie auch diejenigen der Vorinstanz ergaben, dass der Beschwerdeführer in keiner der beiden Zürcher Gemeinden gemeldet ist. Entsprechend konnte er nicht ernsthaft mit einem Obsiegen im vorliegenden Rechtsmittelverfahren rechnen, weshalb Verfahrenskosten zu erheben sind. Aus demselben Grund ist auch sein Gesuch um unentgeltliche Prozessführung und Bestellung eines unentgeltlichen Rechtsbeistandes abzuweisen (§ 65a Abs. 2 in Verbindung mit § 16 Abs. 1 f. VRG). Schliesslich ist aufgrund obiger Überlegungen auch nicht zu beanstanden, dass bereits die Vorinstanz dem Beschwerdeführer die Kosten des Rekursverfahrens auferlegt hat, und im Übrigen nicht ersichtlich, weshalb er hierzu vorgängig hätte angehört werden müssen (so aber der Beschwerdeführer). Sein Antrag um Befreiung von diesen Kosten ist daher abzuweisen.</w:t>
      </w:r>
    </w:p>
    <w:p>
      <w:r>
        <w:rPr>
          <w:b/>
        </w:rPr>
        <w:t>E. 7</w:t>
      </w:r>
    </w:p>
    <w:p>
      <w:r>
        <w:t>Ausgangsgemäss sind daher die Gerichtskosten dem Beschwerdeführer aufzuerlegen; eine Parteientschädigung kann nicht zugesprochen werden (§ 65a Abs. 2 in Verbindung mit § 13 Abs. 4 und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