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VB.2012.00162 vom 2. April 2012</w:t>
      </w:r>
    </w:p>
    <w:p>
      <w:r>
        <w:t>ZH Verwaltungsgericht, 2012-04-02, DE</w:t>
      </w:r>
    </w:p>
    <w:p>
      <w:r>
        <w:rPr>
          <w:b/>
        </w:rPr>
        <w:t xml:space="preserve">Quelle: </w:t>
      </w:r>
      <w:r>
        <w:t>https://mcp.opencaselaw.ch/entscheid/zh_verwaltungsgericht__VB.2012.00162</w:t>
      </w:r>
    </w:p>
    <w:p>
      <w:r>
        <w:t>FR: ZH_VERWALTUNGSGERICHT VB.2012.00162 du 2 avril 2012</w:t>
      </w:r>
    </w:p>
    <w:p>
      <w:r>
        <w:t>IT: ZH_VERWALTUNGSGERICHT VB.2012.00162 del 2 aprile 2012</w:t>
      </w:r>
    </w:p>
    <w:p>
      <w:pPr>
        <w:pStyle w:val="Heading2"/>
      </w:pPr>
      <w:r>
        <w:t>Regeste</w:t>
      </w:r>
    </w:p>
    <w:p>
      <w:r>
        <w:t>Massnahmen nach Gewaltschutzgesetz | Gewaltschutzmassnahmen / Kontaktverbot gegenüber einem minderjährigen Kind. Soweit die Vorinstanz anordnete, dass der Beschwerdeführer seine Ex-Partnerin während 3 Monaten nicht kontaktieren dürfe, ist das Verfahren gegenstandslos geworden: Aufgrund einer inzwischen rechtskräftigen Strafbefehlweisung gilt ohnehin ein 2-jähriges (strafrechtliches) Kontaktverbot. Im vorliegenden Verfahren zu prüfen ist einzig die Rechtmässigkeit des (gewaltschutzrechtlichen) Verbots, den 11-jährigen Sohn zu kontaktieren (E. 1.3). Die Vorinstanz ging zu Recht davon aus, dass der Beschwerdeführer gegenüber seiner Ex-Partnerin häusliche Gewalt ausgeübt hat und dass eine Fortsetzung der Gefährdung glaubhaft erscheint (E. 4.1 und 4.2). Gegenüber dem 11-jährigen Sohn übte der Beschwerdeführer zwar nicht direkt häusliche Gewalt aus. Der Sohn ist aber trotzdem als gefährdete Person im Sinn des Gewaltschutzgesetzes einzustufen, da er mehrere Gewaltvorfälle zwischen den Eltern miterlebte und deshalb unter grosser psychischer Belastung leidet (E. 4.3). Das angeordnete 3-monatige Kontaktverbot erscheint - bis zur Einrichtung einer zivilrechtlichen Besuchsrechtsregelung - erforderlich, um den Sohn vor weiteren Gefährdungen zu schützen (E. 4.4). Abweisung.</w:t>
      </w:r>
    </w:p>
    <w:p>
      <w:pPr>
        <w:pStyle w:val="Heading2"/>
      </w:pPr>
      <w:r>
        <w:t>Erwägungen</w:t>
      </w:r>
    </w:p>
    <w:p>
      <w:r>
        <w:rPr>
          <w:b/>
        </w:rPr>
        <w:t>E. 3</w:t>
      </w:r>
    </w:p>
    <w:p>
      <w:r>
        <w:t>Der Beschwerdeführer macht geltend, das vom Haftrichter bis am 7. Juni 2012 verlängerte Kontaktverbot zu seinem 11-jährigen Sohn sei aufzuheben. Er vermisse den Kontakt zu seinem Sohn, und dieser vermisse ihn offensichtlich auch. Er verstehe nicht, weshalb er seinen Sohn während so langer Zeit nicht sehen dürfe, zumal er für alle Lösungen offen sei, die ein Treffen mit ihm zuliessen.</w:t>
      </w:r>
    </w:p>
    <w:p>
      <w:r>
        <w:rPr>
          <w:b/>
        </w:rPr>
        <w:t>E. 4.1</w:t>
      </w:r>
    </w:p>
    <w:p>
      <w:r>
        <w:t>In Bezug auf die erhobenen Vorwürfe räumte der Beschwerdeführer im Rahmen der Befragungen durch die Polizei, den Haftrichter und die Staatsanwaltschaft ein, dass er am 21. Februar 2012 um ca. 12.15 Uhr vor der Tür der Wohnung stand, in der die Beschwerdegegnerin und ihr Sohn damals lebten, und ihr telefonisch drohte, alle Familienmitglieder der Beschwerdegegnerin, die aus der Tür kämen, umzubringen (act. 7/3/1 S. 2 sowie act. 7, Anhörungsprotokoll S. 6). Ferner gab er zu, dass er ihr bereits früher einmal gesagt habe, er werde sie niederschlagen (act. 7/3/1 S. 2) bzw. umbringen (act. 7/9/2 S. 9), dass er am 19. Februar 2012 mit einem Laptop nach ihr geworfen und sie am Knie verletzt habe (act. 7/3/1 S. 3 und act. 7/9/2 S. 6), dass er sie mehrmals an den Kleidern gepackt und auf das Sofa gestossen habe (act. 7/3/1 S. 4 und act. 7/9/2 S. 5) und dass er ihr bei mehreren Streitigkeiten eine Ohrfeige gegeben oder sie getreten habe (act. 7/3/1 S. 6 und act. 7/9/2 S. 9). Aus dem rechtskräftigen Strafbefehl vom 22. Februar 2012 geht sodann hervor, dass der Beschwerdeführer im Februar 2012 einen Laptop gegen die Beschwerdegegnerin geworfen hat, der sie am Knie traf , das danach ein Hämatom aufwies und stark anschwoll, dass er ihr ungefähr am 17. Februar 2012 sowie am 20. Februar 2012 drohte, ihre Familie umzubringen, und dass er ihr zwischen August 2011 und Februar 2012 jeweils im Rahmen verbaler Auseinandersetzungen ein bis zwei Ohrfeigen versetzte und drei bis vier Mal Fusstritte versetzte (act. 9/1 S. 3). Vor dem Hintergrund dieses erstellten Sachverhalts ist nicht zu beanstanden, d ass die Vorinstanz das Verhalten des Beschwerdeführers als häusliche Gewalt im Sinn von § 2 Abs. 1 GSG einstufte.</w:t>
      </w:r>
    </w:p>
    <w:p>
      <w:r>
        <w:rPr>
          <w:b/>
        </w:rPr>
        <w:t>E. 4.2</w:t>
      </w:r>
    </w:p>
    <w:p>
      <w:r>
        <w:t>Die Vorinstanz kam ferner zu Recht zum Schluss, dass ein Fortbestand der Gefährdung glaubhaft sei bzw. eine Verlängerung der angeordneten Massnahmen rechtfertige: Erstens erachtete der Haftrichter die Aussagen der Beschwerdeführerin, die anlässlich der Anhörung einen Fortbestand der Gefährdung geltend machte, als glaubwürdig (act. 4 S. 4). Zweitens sind dem Beschwerdeführer mehrere, teilweise gravierende häusliche Gewaltvorfälle vorzuwerfen (vgl. E. 4.1). Drittens schliesslich zeigte er sich in Bezug auf sein Verhalten uneinsichtig, indem er – wie er selber einräumt (act. 7, Anhörungsprotokoll S. 7) – nach Anordnung der polizeilichen Massnahmen seinen Sohn auf dem Pausenhof des Schulhauses kontaktierte und damit gegen das angeordnete Kontaktverbot verstiess.</w:t>
      </w:r>
    </w:p>
    <w:p>
      <w:r>
        <w:rPr>
          <w:b/>
        </w:rPr>
        <w:t>E. 4.3</w:t>
      </w:r>
    </w:p>
    <w:p>
      <w:r>
        <w:t>Kontaktverbote gegenüber minderjährigen Kindern kommen nur infrage, wenn das betreffende Kind entweder selber als gefährdete Person gilt, die von häuslicher Gewalt betroffen ist (§ 2 Abs. 3 GSG), oder wenn das Kind – ohne selber als gefährdet zu erscheinen – der gefährdeten Person nahesteht (vgl. § 3 Abs. 2 lit. c GSG).</w:t>
      </w:r>
    </w:p>
    <w:p>
      <w:r>
        <w:rPr>
          <w:b/>
        </w:rPr>
        <w:t>E. 4.3.1</w:t>
      </w:r>
    </w:p>
    <w:p>
      <w:r>
        <w:t>Ein auf § 3 Abs. 2 lit. c GSG gestütztes Kontaktverbot gegenüber einem selber nicht gefährdeten Kind ist gemäss der Rechtsprechung des Verwaltungsgerichts nur dann zulässig, wenn diese Massnahme zum Schutz des gefährdeten Elternteils notwendig ist (vgl. VGr, 13. Juli 2011, VB.2011.00385, E. 6.1). Eine derartige Gefährdung der Beschwerdegegnerin ist im vorliegenden Fall indessen nicht ersichtlich.</w:t>
      </w:r>
    </w:p>
    <w:p>
      <w:r>
        <w:rPr>
          <w:b/>
        </w:rPr>
        <w:t>E. 4.3.2</w:t>
      </w:r>
    </w:p>
    <w:p>
      <w:r>
        <w:t>Zu prüfen ist hingegen, ob der Sohn der Beschwerdegegnerin und des Beschwerdeführers selber als gefährdete Person im Sinn von § 2 Abs. 3 GSG zu gelten hat bzw. ob der Sohn aufgrund der vom Beschwerdeführer gegenüber der Beschwerdegegnerin ausgeübten häuslichen Gewalt in seiner körperlichen, sexuellen oder psychischen Integrität verletzt oder gefährdet erscheint (vgl. § 2 Abs. 1 GSG).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welche es selber zu einer von (psychischer) Gewalt betroffenen Person macht (VGr, 7. April 2011, VB.2011.000142, E. 4.2; vgl. Andrea Büchler/Margot Michel, Besuchsrecht und häusliche Gewalt, FamPra 2011 S. 525 ff., 540).</w:t>
      </w:r>
    </w:p>
    <w:p>
      <w:r>
        <w:rPr>
          <w:b/>
        </w:rPr>
        <w:t>E. 4.3.3</w:t>
      </w:r>
    </w:p>
    <w:p>
      <w:r>
        <w:t>Im vorliegenden Fall hat der Beschwerdeführer zwar nie häusliche Gewalt ausgeübt, die sich direkt gegen seinen 11-jährigen Sohn richtete; auch die Beschwerdegegnerin befürchtet nicht, dass der Beschwerdeführer dem gemeinsamen Sohn etwas antun könnte (act. 7, Anhörungsprotokoll S. 3). Gleichzeitig ist indessen zu beachten, dass der Sohn unbestrittenerweise in mehreren Fällen, in denen der Beschwerdeführer gegenüber der Beschwerdegegnerin häusliche Gewalt ausübte, anwesend war. Die Parteien sind übereinstimmend der Auffassung, dass der Sohn aufgrund der mehrmals miterlebten Auseinandersetzungen zwischen den Eltern unter grosser psychischer Belastung leidet und schon mehrfach Selbstmordgedanken geäussert hat (vgl. act. 7, Anhörungsprotokoll S. 2 und 7; act. 7/3/1 S. 3; act. 7/3/2 S. 2; act. 7/3/3 S. 4). Unter diesen Umständen ist vor dem Hintergrund der soeben dargelegten Rechtsprechung (E. 4.3.2) nicht zu beanstanden, wenn der Haftrichter gestützt auf die Akten und auf die persönliche Anhörung der Parteien zum Schluss gelangte, dass der Sohn des Beschwerdeführers als gefährdete Person im Sinn von § 2 Abs. 3 GSG zu qualifizieren sei. Die haftrichterliche Kontaktverbotsverlängerung beruht somit auf einer genügenden gesetzlichen Grundlage.</w:t>
      </w:r>
    </w:p>
    <w:p>
      <w:r>
        <w:rPr>
          <w:b/>
        </w:rPr>
        <w:t>E. 4.4</w:t>
      </w:r>
    </w:p>
    <w:p>
      <w:r>
        <w:t>Zu beantworten bleibt die Frage, ob die Anordnung eines 3-monatigen Kontaktverbots zwischen dem Beschwerdeführer und seinem Sohn als verhältnismässig zu erachten ist. In diesem Zusammenhang ist zu berücksichtigen, dass ein dreimonatiges gänzliches Kontaktverbot der gefährdenden Person zu ihrem unmündigen Kind einen schweren staatlichen Eingriff in das verfassungsmässige Recht – der gefährdenden Person wie des Kindes – auf Familienleben darstellt. Die Anordnung eines solchen Verbots kommt deshalb nur infrage, wenn den drohenden Gefahren nicht mittels milderer Massnahmen begegnet werden kann (VGr, 30. April 2009, VB.2009.00175, E. 4; vgl. BGr, 19. Oktober 2007, 1C_219/2007, E. 2.3 bis 2.5). Im vorliegenden Fall ist zu beachten, dass der Beschwerdeführer gegenüber der Beschwerdegegnerin wiederholt in Anwesenheit des gemeinsamen Kindes teilweise massive häusliche Gewalt ausübte (vgl. E. 4.1) und dass er das 14-tägige Kontaktverbot der Polizei missachtet hat (vgl. E. 4.2). Unter diesen Umständen ist nicht ersichtlich, welche im Vergleich zu einem 3-monatigen Kontaktverbot mildere Massnahme der Haftrichter hätte anordnen können, um dem Gesetzeszweck – Schutz, Sicherheit und Unterstützung von Personen, die durch häusliche Gewalt betroffen sind (§ 1 Abs. 1 GSG) – gerecht zu werden, zumal es nicht in der Kompetenz der Gewaltschutz anordnenden Instanzen liegt, ein (begleitetes oder unbegleitetes) Besuchsrecht anzuordnen. Zieht man ferner in Betracht, dass sich der Haftrichter im Rahmen der Anhörung der Parteien einen umfassenden Eindruck der Situation machen konnte und dass ihm deshalb ein grosser Ermessensspielraum einzuräumen ist (vgl. E. 2.3), so erweist sich die Anordnung eines 3-monatigen Kontaktverbots zum 11-jährigen Sohn im vorliegenden Fall als rechtmässig.</w:t>
      </w:r>
    </w:p>
    <w:p>
      <w:r>
        <w:rPr>
          <w:b/>
        </w:rPr>
        <w:t>E. 5</w:t>
      </w:r>
    </w:p>
    <w:p>
      <w:r>
        <w:t>Zusammenfassend erweisen sich die Einwendungen des Beschwerdeführers als unbegründet. Somit ist die Beschwerde abzuweisen. Ausgangsgemäss sind die Kosten des Verfahrens dem Beschwerdeführer aufzuerlegen (§ 65a Abs. 2 in Verbindung mit § 13 Abs. 2 VRG). Die Zusprechung einer Parteientschädigung wurde von keiner Seite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