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VB.2012.00013 vom 25. Januar 2012</w:t>
      </w:r>
    </w:p>
    <w:p>
      <w:r>
        <w:t>ZH Verwaltungsgericht, 2012-01-25, DE</w:t>
      </w:r>
    </w:p>
    <w:p>
      <w:r>
        <w:rPr>
          <w:b/>
        </w:rPr>
        <w:t xml:space="preserve">Quelle: </w:t>
      </w:r>
      <w:r>
        <w:t>https://mcp.opencaselaw.ch/entscheid/zh_verwaltungsgericht__VB.2012.00013</w:t>
      </w:r>
    </w:p>
    <w:p>
      <w:r>
        <w:t>FR: ZH_VERWALTUNGSGERICHT VB.2012.00013 du 25 janvier 2012</w:t>
      </w:r>
    </w:p>
    <w:p>
      <w:r>
        <w:t>IT: ZH_VERWALTUNGSGERICHT VB.2012.00013 del 25 gennaio 2012</w:t>
      </w:r>
    </w:p>
    <w:p>
      <w:pPr>
        <w:pStyle w:val="Heading2"/>
      </w:pPr>
      <w:r>
        <w:t>Regeste</w:t>
      </w:r>
    </w:p>
    <w:p>
      <w:r>
        <w:t>Bestätigung Ausschaffungshaft | Rechtliches Gehör. Rechtzeitige Vorladung des Rechtsvertreters zur Haftrichterverhandlung. Aus dem Anspruch auf rechtliches Gehör gemäss Art. 29 Abs. 2 BV, bzw. Art. 6 EMRK leitet die bundesgerichtliche Rechtsprechung ein Recht auf rechtzeitige Vorladung zu einer gerichtlichen Verhandlung ab. Das Recht auf rechtzeitige Bekanntgabe des gerichtlichen Verhandlungstermins ist ein besonderer Aspekt des Rechts auf ein faires Verfahren. Wie viel Zeit erforderlich ist, lässt sich nicht abstrakt bestimmen. Massgebend sind die Umstände des konkreten Falls. Dabei sind etwa Umfang und Schwierigkeit der Sach- und Rechtslage, die jeweilige Art des Verfahrens sowie das Verfahrensstadium zu berücksichtigen (E. 4.1). Eine Vorladungsfrist von lediglich 43 Minuten ist derart kurz bemessen, dass sie mit dem Anspruch auf rechtzeitige Bekanntgabe des gerichtlichen Verhandlungstermins nicht mehr vereinbar ist. Auch unter dem besonderen Beschleunigungsgebot bei Haftanordnungen muss die Vorladungsfrist so bemessen sein, dass dem Rechtsvertreter die Kenntnisnahme der Verfügung und die Verschiebung allfällig anstehender Termine, die Anreise zur Verhandlung sowie eine kurze Vorbereitung, insbesondere ein kurzes Gespräch mit der Mandantschaft, möglich ist. Dies ist bei einer Vorladungsfrist von 43 Minuten nicht mehr gewährleistet (E. 4.2). Rückweisung zur Wiederholung der Haftrichterverhandlung.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 b Abs. 1 lit. d Ziff. 4 in Verbindung mit § 43 Abs. 1 lit. b VRG sowie § 38 b Abs. 2 VRG). Da dem vorliegenden Fall keine solche Bedeutung zukommt, ist der Einzelrichter zum Entscheid berufen.</w:t>
      </w:r>
    </w:p>
    <w:p>
      <w:r>
        <w:rPr>
          <w:b/>
        </w:rPr>
        <w:t>E. 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w:t>
      </w:r>
    </w:p>
    <w:p>
      <w:r>
        <w:rPr>
          <w:b/>
        </w:rPr>
        <w:t>E. 3</w:t>
      </w:r>
    </w:p>
    <w:p>
      <w:r>
        <w:t>Der Rechtsvertreter des Beschwerdeführers macht geltend, er sei über die Weihnachts- und Neujahrsfesttage vom 23. Dezember 2011 bis zum 1. Januar 2012 ferienabwesend gewesen. Für den Fall, dass in dieser Zeit eine Verhandlung vor dem Zwangsmassnahmengericht stattfinden würde, habe er sein Sekretariat beauftragt, ihn in den Ferien zu kontaktieren. Um nichts zu versäumen, habe sich das Sekretariat vom 27. bis 30. Dezember 2011 regelmässig beim Zwangsmassnahmengericht erkundigt, ob ein Antrag der Beschwerdegegnerin auf Bestätigung der Ausschaffungshaft eingegangen sei. Bis und mit dem 30. Dezember 2011 sei seinem Sekretariat stets mitgeteilt worden, es sei kein entsprechendes Geschäft am Zwangsmassnahmengericht hängig. Am Freitag, 30. Dezember 2011, 14.19 Uhr, sei auf seinem Sekretariat per Telefax der Antrag der Beschwerdegegnerin an das Zwangsmassnahmengericht auf Bestätigung der Ausschaffungshaft eingegangen. Aufgrund des reduzierten Betriebs über die Weihnachts- und Neujahrsfesttage sei das Zwangsmassnahmengericht am Freitagnachmittag des 30. Dezembers 2011 telefonisch nicht mehr erreichbar gewesen. Am Montagvormittag, 2. Januar 2012, um zirka 07.45 Uhr sei er nach seinen Ferien zurück ins Büro gekommen. Bei dieser Gelegenheit habe er die Vorladung des Zwangsmassnahmengerichts vom 31. Dezember 2011, ihm gleichentags um 08.17 Uhr übermittelt, vorgefunden, wonach die Verhandlung auf Samstag, 31. Dezember 2011, 09.00 Uhr, angesetzt sei. Somit habe er erst von der Vorladung des Zwangsmassnahmengerichts Kenntnis nehmen können, als die Verhandlung bereits durchgeführt gewesen sei. Indem der Vorderrichter die Haftprüfungsverhandlung durchgeführt habe, obwohl er gewusst habe, dass der Rechtsvertreter des Beschwerdeführers nicht daran würde teilnehmen können, habe er den Gehörsanspruch des Beschwerdeführers verletzt.</w:t>
      </w:r>
    </w:p>
    <w:p>
      <w:r>
        <w:rPr>
          <w:b/>
        </w:rPr>
        <w:t>E. 4</w:t>
      </w:r>
    </w:p>
    <w:p>
      <w:r>
        <w:t>Aus dem Anspruch auf rechtliches Gehör gemäss Art. 29 Abs. 2 BV, bzw. Art. 6 EMRK leitet die bundesgerichtliche Rechtsprechung ein Recht auf rechtzeitige Vorladung zu einer gerichtlichen Verhandlung ab. Das Recht auf rechtzeitige Bekanntgabe des gerichtlichen Verhandlungstermins ist ein besonderer Aspekt des Rechts auf ein faires Verfahren. Wie viel Zeit erforderlich ist, lässt sich nicht abstrakt bestimmen. Massgebend sind die Umstände des konkreten Falls. Dabei sind etwa Umfang und Schwierigkeit der Sach- und Rechtslage, die jeweilige Art des Verfahrens sowie das Verfahrensstadium zu berücksichtigen (BGE 131 I 185 E. 2.1; 117 Ib 347 E. 2.b/bb S. 350 f., je mit Hinweisen).</w:t>
      </w:r>
    </w:p>
    <w:p>
      <w:r>
        <w:rPr>
          <w:b/>
        </w:rPr>
        <w:t>E. 4.1</w:t>
      </w:r>
    </w:p>
    <w:p>
      <w:r>
        <w:t>Vorliegend wurde der Antrag auf Bestätigung der Ausschaffungshaft vom 30. Dezember 2011 dem bevollmächtigen Rechtsvertreter des Beschwerdeführers gleichentags um 14.19 Uhr per Fax übermittelt. Nach unbestritten gebliebener Angabe des Rechtsvertreters konnte sein Sekretariat aufgrund des reduzierten Betriebs über die Weihnachts- und Neujahrsfesttage das Zwangsmassnahmengericht am Freitagnachmittag des 30. Dezembers 2011 telefonisch nicht mehr erreichen. Die Haftrichterverhandlung wurde gemäss Vorladung vom 31. Dezember 2011 gleichentags auf 09.00 Uhr angesetzt. Gemäss dem bei den Akten liegenden Verhandlungsprotokoll versuchte die Kanzlei des Zwangsmassnahmengerichts am 31. Dezember 2011 den Rechtsvertreter des Beschwerdeführers um 08.15 Uhr telefonisch zu erreichen, was jedoch nicht gelang, worauf ihm die Vorladung gefaxt wurde. Die Vorladung traf um 08.17 Uhr in der Kanzlei des Beschwerdeführers ein. Die Vorladungsfrist betrug somit 43 Minuten. Die 96-stündige Frist zur Überprüfung der Rechtmässigkeit und Angemessenheit der Haft nach Art. 80 Abs. 2 AuG begann gemäss Antrag des Migrationsamts zur Bestätigung der Ausschaffungshaft am 29. Dezember 2011 um 08.00 Uhr und endete somit am 2. Januar 2012 um 08.00 Uhr.</w:t>
      </w:r>
    </w:p>
    <w:p>
      <w:r>
        <w:rPr>
          <w:b/>
        </w:rPr>
        <w:t>E. 4.2</w:t>
      </w:r>
    </w:p>
    <w:p>
      <w:r>
        <w:t>Aufgrund des besonderen Beschleunigungsgebots bei der Haftanordnung ist es üblich, dass die Vorladungen per Fax bzw. telefonisch erfolgen. Das Beschleunigungsgebot gilt nicht nur für die Ausländerbehörde und das Zwangsmassnahmengericht, sondern auch für den Rechtsvertreter des Inhaftierten. Es ist einem Rechtsvertreter demnach zuzumuten, Arbeiten zugunsten dringender Fälle zurückzustellen und relativ kurzfristig zu Haftrichterverhandlungen zu erscheinen. Eine Vorladungsfrist von lediglich 43 Minuten ist indessen derart kurz bemessen, dass sie mit dem Anspruch auf rechtzeitige Bekanntgabe des gerichtlichen Verhandlungstermins nicht mehr vereinbar ist. Auch unter dem besonderen Beschleunigungsgebot bei Haftanordnungen muss die Vorladungsfrist so bemessen sein, dass dem Rechtsvertreter die Kenntnisnahme der Verfügung und die Verschiebung allfällig anstehender Termine, die Anreise zur Verhandlung sowie eine kurze Vorbereitung, insbesondere ein kurzes Gespräch mit der Mandantschaft, möglich ist. Dies ist bei einer Vorladungsfrist von 43 Minuten nicht mehr gewährleistet. Damit ist die Verfügung vom 31. Dezember 2011 wegen Verletzung des Gehörsanspruchs des Beschwerdeführers aufzuheben.</w:t>
      </w:r>
    </w:p>
    <w:p>
      <w:r>
        <w:rPr>
          <w:b/>
        </w:rPr>
        <w:t>E. 5</w:t>
      </w:r>
    </w:p>
    <w:p>
      <w:r>
        <w:t>Nicht jede Verletzung von Verfahrensvorschriften hat indessen eine Haftentlassung zur Folge. Nach der Rechtsprechung kommt es dabei vielmehr einerseits darauf an, welche Bedeutung den verletzten Vorschriften für die Wahrung der Rechte des Betroffenen zukommt, andererseits kann das Anliegen einer reibungslosen Durchsetzung der Ausschaffung der Freilassung entgegenstehen, insbesondere dann, wenn der Ausländer die öffentliche Sicherheit oder Ordnung gefährdet (BGr, 3. September 2007, 2C_395/2007, E. 3.4.1 mit Hinweisen). Entscheidend ist eine Abwägung aller massgeblichen Interessen unter Berücksichtigung einer allfälligen Straffälligkeit des Ausländers, ohne dass eine solche aber zwingend gegeben sein müsste (vgl. BGr, 17. Mai 2002, 2A.200/2002, E. 4.1 mit Hinweis). Der Beschwerdeführer wurde mit Urteil des Obergerichts des Kantons Zürich vom 4. September 2006 der schweren Körperverletzung, des Diebstahls, der mehrfachen einfachen Körperverletzung, des Hausfriedensbruchs, der Sachbeschädigung sowie der mehrfachen Tätlichkeiten schuldig gesprochen und mit 7 Jahren und 2 Monaten Zuchthaus bestraft. Er hat damit die allgemeine Sicherheit und Ordnung in der Schweiz in schwerer Weise verletzt. Besonders schwer wiegt dabei die an seinem zweijährigen Sohn verübte schwere Körperverletzung, an welcher dieser in der Folge verstarb. Unter diesen Umständen lässt es sich trotz der Gehörsverletzung nicht rechtfertigen, den Beschwerdeführer aus der Haft zu entlassen. Vielmehr ist dem Zwangsmassnahmengericht eine kurze Frist zur Wiederholung der Haftrichterverhandlung unter gehöriger Vorladung des Rechtsvertreters des Beschwerdeführers anzusetzen. Die Nichtbeachtung dieser Frist kann zur Haftentlassung führen (vgl. BGE 121 II 105 E. 2c). Die im Beschwerdeverfahren erhobenen materiellen Rügen wird der Haftrichter als Erstinstanz unter Wahrung des rechtlichen Gehörs des Beschwerdeführers im Rahmen der Wiederholung der Haftrichterverhandlung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