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VB.2011.00803 vom 29. September 2011</w:t>
      </w:r>
    </w:p>
    <w:p>
      <w:r>
        <w:t>ZH Verwaltungsgericht, 2011-09-29, DE</w:t>
      </w:r>
    </w:p>
    <w:p>
      <w:r>
        <w:rPr>
          <w:b/>
        </w:rPr>
        <w:t xml:space="preserve">Quelle: </w:t>
      </w:r>
      <w:r>
        <w:t>https://mcp.opencaselaw.ch/entscheid/zh_verwaltungsgericht__VB.2011.00803</w:t>
      </w:r>
    </w:p>
    <w:p>
      <w:r>
        <w:t>FR: ZH_VERWALTUNGSGERICHT VB.2011.00803 du 29 septembre 2011</w:t>
      </w:r>
    </w:p>
    <w:p>
      <w:r>
        <w:t>IT: ZH_VERWALTUNGSGERICHT VB.2011.00803 del 29 settembre 2011</w:t>
      </w:r>
    </w:p>
    <w:p>
      <w:pPr>
        <w:pStyle w:val="Heading2"/>
      </w:pPr>
      <w:r>
        <w:t>Regeste</w:t>
      </w:r>
    </w:p>
    <w:p>
      <w:r>
        <w:t>Niederlassungsbewilligung | Gemäss Art. 138 Abs. 1 ZPO erfolgt die Zustellung von Entscheiden durch eingeschriebene Postsendung oder auf andere Weise gegen Empfangsbestätigung. Trifft der Postbote den Adressaten der Zustellung nicht an, legt er ihm eine Abholungseinladung in den Briefkasten. Holt dieser die Sendung in der Folge nicht innert einer Frist von sieben Tagen auf der Post ab, gilt die Zustellung als am siebten Tag nach dem erfolglosen Zustellungsversuch erfolgt (sogenannte Zustellfiktion). Die Zustellfiktion tritt indessen nur dann ein, wenn kumulativ die folgenden zwei Voraussetzungen erfüllt sind: Einerseits ist erforderlich, dass die Post eine Abholungseinladung im Briefkasten des Adressaten hinterlegt hat. Andererseits ist nötig, dass der Empfänger ernsthaft mit einer Zustellung rechnen musste. Mit Zustellungen hat eine Partei immer dann zu rechnen, wenn ein Verfahrens- oder Prozessrechtsverhältnis besteht. Ein solches verpflichtet die Beteiligten, sich so zu verhalten, dass ihnen zum Beispiel alle Verwaltungsakte zugestellt werden können (E. 2.2.2). Abweichend von der früheren Rechtslage enthält die Zivilprozessordnung keine Regel, dass bei einem gescheiterten Zustellversuch ein zweiter erfolgen müsse. Im Interesse der Verfahrensbeschleunigung und um der trölerischen Prozessführung einen Riegel vorzuschieben, sind daher gerichtliche Mitteilungen nur noch einmal formell korrekt zuzustellen; Analoges muss auch im Verwaltungs- oder Rekursverfahren gelten (E. 2.2.3). Es spricht eine natürliche Vermutung dafür, dass die Post die Abholeinladung für eine Einschreibesendung korrekt in den Briefkasten legt. Im Normalfall genügt also die Bescheinigung der Poststelle auf der Sendung, diese sei nicht innert Frist abgeholt worden, um die Zustellung der Abholeinladung nachzuweisen. Entsprechend obliegt es der Partei, die etwas anderes behauptet, den Gegenbeweis dafür zu erbringen. Weitere Beweiserhebungen sind in solchen Fällen nur dann angezeigt, wenn der Empfänger Sachumstände nachweisenkann, die für Unregelmässigkeiten bei der Zustellung der Abholungseinladung sprechen (E. 2.2.5).</w:t>
      </w:r>
    </w:p>
    <w:p>
      <w:pPr>
        <w:pStyle w:val="Heading2"/>
      </w:pPr>
      <w:r>
        <w:t>Erwägungen</w:t>
      </w:r>
    </w:p>
    <w:p>
      <w:r>
        <w:rPr>
          <w:b/>
        </w:rPr>
        <w:t>E. 4</w:t>
      </w:r>
    </w:p>
    <w:p>
      <w:r>
        <w:t>Schliesslich ist zu prüfen, ob die Voraussetzungen für die Gewährung der unentgeltlichen Prozessführung und die Bestellung eines unentgeltlichen Rechtsbeistandes erfüllt sind. Gemäss § 65a Abs. 2 in Verbindung mit § 16 Abs. 1 f. VRG ist Privaten, welchen die nötigen Mittel fehlen und deren Begehren nicht offensichtlich aussichtslos erscheint, auf entsprechendes Ersuchen hin die Bezahlung von Verfahrenskosten und Kostenvorschüssen zu erlassen und unter weiteren Bedingungen auch ein unentgeltlicher Rechtsbeistand zu bestellen. Die genannten Voraussetzungen sind im vorliegenden Fall nicht erfüllt. Als aussichtslos sind nämlich Begehren anzusehen, bei denen die Chancen auf Gutheissung um derart viel kleiner als jene auf Abweisung erscheinen, dass sie deshalb kaum als ernsthaft bezeichnet werden können (Alfred Kölz/Jürg Bosshart/Martin Röhl, Kommentar zum Verwaltungsrechtspflegegesetz des Kantons Zürich, 2. A., Zürich 1999, § 16 N. 32). Angesichts der formellen Natur von Rechtsmittelfristen war für den Beschwerdeführer offenkundig, dass sein Rechtsmittel chancenlos sein würde. Darüber hinaus hat es der Beschwerdeführer unterlassen, seine finanziellen Verhältnisse – wie erforderlich (vgl. VGr, 16. Juni 2010, VB.2010.00160, E. 2.2.2 Abs. 1 mit Hinweisen – zu substanzieren (siehe für eine recht komfortable Situation übrigens das Scheidungsurteil). Das Gesuch um Bewilligung der unentgeltlichen Prozessführung und Bestellung eines unentgeltlichen Rechtsbeistandes ist somit abzuweisen.</w:t>
      </w:r>
    </w:p>
    <w:p>
      <w:r>
        <w:rPr>
          <w:b/>
        </w:rPr>
        <w:t>E. 5</w:t>
      </w:r>
    </w:p>
    <w:p>
      <w:r>
        <w:t>Ausgangsgemäss sind die Gerichtskosten dem Beschwerdeführer aufzuerlegen; eine Parteientschädigung kann nicht zugesprochen werden (§ 65a Abs. 2 in Verbindung mit § 13 Abs. 2 Satz 1 und § 17 Abs. 2 VRG).</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