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VB.2011.00676 vom 9. Mai 2012</w:t>
      </w:r>
    </w:p>
    <w:p>
      <w:r>
        <w:t>ZH Verwaltungsgericht, 2012-05-09, DE</w:t>
      </w:r>
    </w:p>
    <w:p>
      <w:r>
        <w:rPr>
          <w:b/>
        </w:rPr>
        <w:t xml:space="preserve">Quelle: </w:t>
      </w:r>
      <w:r>
        <w:t>https://mcp.opencaselaw.ch/entscheid/zh_verwaltungsgericht__VB.2011.00676</w:t>
      </w:r>
    </w:p>
    <w:p>
      <w:r>
        <w:t>FR: ZH_VERWALTUNGSGERICHT VB.2011.00676 du 9 mai 2012</w:t>
      </w:r>
    </w:p>
    <w:p>
      <w:r>
        <w:t>IT: ZH_VERWALTUNGSGERICHT VB.2011.00676 del 9 maggio 2012</w:t>
      </w:r>
    </w:p>
    <w:p>
      <w:pPr>
        <w:pStyle w:val="Heading2"/>
      </w:pPr>
      <w:r>
        <w:t>Regeste</w:t>
      </w:r>
    </w:p>
    <w:p>
      <w:r>
        <w:t>Submission | Offenlegung eines eingedolten Baches: Ausschluss wegen Nichterfüllung der Eignungskriterien. Soweit die Anordnungen in der Ausschreibung der Vergabebehörde einen gewissen Beurteilungsspielraum belassen, stellen sie Zwischenentscheide im Sinn von § 19a Abs. 2 VRG in Verbindung mit Art. 93 BGG dar. Selbst bei selbständiger Anfechtbarkeit können sie grundsätzlich noch mit dem Endentscheid angefochten werden (E. 3.1). Da die Vergabebehörde bei der Prüfung der Eignungsnachweise über ein grosses Ermessen verfügt, war die Beschwerdeführerin nach Treu und Glauben nicht zu einer Anfechtung der Ausschreibung bzw. einer informellen Beanstandung verpflichtet (E. 3.2.3). Eignungskriterien sind im Normalfall Ausschlusskriterien, die entweder erfüllt sind oder nicht (E. 4). Die Forderung nach fünf einschlägigen Referenzprojekten erscheint angesichts der nicht aussergewöhnlich hohen Komplexität des Vergabegegenstands als ungerechtfertigt (E. 4.2). Da die Beschwerdeführerin auch die auf ein vertretbares Mass, d.h. zwei einschlägige Referenzen, reduzierte Eignungsanforderung nicht erfüllt, ist ihre Beschwerde abzuweisen (E. 5). Abweisung.</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ZBI 100/1999, S. 372; vgl. Alfred Kölz/Jürg Bosshart/Martin Röhl, Kommentar zum Verwaltungsrechtspflegegesetz des Kantons Zürich, 2. A., Zürich 1999, § 41 N. 22). Auf das Beschwerdeverfahren gelangen die Art. 15 ff. der Interkantonalen Vereinbarung über das öffentliche Beschaffungswesen vom 15. März 2001 (IVöB) sowie die §§ 2 ff. des Gesetzes über den Beitritt des  Kantons Zürich zur Interkantonalen Vereinbarung über das öffentliche Beschaffungswesen vom 15. September 2003 (IVöB-BeitrittsG) zur Anwendung.</w:t>
      </w:r>
    </w:p>
    <w:p>
      <w:r>
        <w:rPr>
          <w:b/>
        </w:rPr>
        <w:t>E. 2</w:t>
      </w:r>
    </w:p>
    <w:p>
      <w:r>
        <w:t>Nicht berücksichtigte Anbietende sind zur Beschwerde gegen den Vergabeentscheid legitimiert, wenn sie bei deren Gutheissung eine realistische Chance haben, mit dem eigenen Angebot zum Zug zu kommen oder wenn die Gutheissung der Beschwerde zu einer Wiederholung des Submissionsverfahrens führt, in dem sie ein neues Angebot einreichen können; andernfalls fehlt ihnen das schutzwürdige Interesse an der Beschwerdeführung (RB 1999 Nr. 18 = BEZ 1999 Nr. 11; § 21 des Verwaltungsrechtspflegegesetzes vom 24. Mai 1959 [VRG]). Vorliegend hat die Beschwerdeführerin das betragsmässig tiefste Angebot eingereicht. Ihre Beschwerde richtet sich gegen den Ausschluss dieses Angebots vom Verfahren. Falls die betreffenden Rügen begründet sind, hat sie demnach eine realistische Chance auf den Zuschlag. Ihre Legitimation ist daher grundsätzlich zu bejahen.</w:t>
      </w:r>
    </w:p>
    <w:p>
      <w:r>
        <w:rPr>
          <w:b/>
        </w:rPr>
        <w:t>E. 3</w:t>
      </w:r>
    </w:p>
    <w:p>
      <w:r>
        <w:t>Die Beschwerdeführerin rügt, die Eignungskriterien seien zu restriktiv festgelegt worden. Dem hält die Beschwerdegegnerin zunächst entgegen, diese Rüge erweise sich als verspätet. Die streitigen Eignungskriterien seien nicht erst in den Ausschreibungsunterlagen, sondern bereits in der Ausschreibung bekannt gegeben worden und wären daher einer selbständigen Anfechtung zugänglich gewesen. Es entspreche der ständigen Praxis des Bundesgerichts sowie verschiedener kantonaler Gerichte, Rügen im Beschwerdeverfahren gegen den Zuschlagsentscheid nicht mehr zuzulassen, wenn sie bereits in einer Beschwerde gegen die Ausschreibung hätten vorgebracht werden können. Die Praxis des zürcherischen Verwaltungsgerichts zur Anfechtung der Ausschreibung sei zwar nicht ganz deckungsgleich mit der bundesgerichtlichen Rechtsprechung. In seinem Entscheid VB.2010.00170 habe das Verwaltungsgericht jedoch ausdrücklich offengelassen, ob die Anpassungen der einschlägigen Bestimmungen im Verwaltungsrechtspflegegesetz an die Art. 91–93 des Bundesgerichtsgesetzes vom 17. Juni 2005 (BGG) zur Änderung dieser Praxis führen müssten.</w:t>
      </w:r>
    </w:p>
    <w:p>
      <w:r>
        <w:rPr>
          <w:b/>
        </w:rPr>
        <w:t>E. 3.1</w:t>
      </w:r>
    </w:p>
    <w:p>
      <w:r>
        <w:t>Nach der bisherigen Praxis des Verwaltungsgerichts besteht eine Pflicht zur selbständigen Anfechtung der Ausschreibung grundsätzlich nur, wenn darin ein materieller Teil- bzw. Vorentscheid liegt (RB 1999 Nr. 24 E. 2 = BEZ 1999 Nr. 14 E. 3 = ZBl 101/2000 S. 455 E. 3 auch zum Folgenden). Ein solcher liegt vor, wenn damit Grundsatz- oder Teilaspekte des Streitgegenstands verbindlich und abschliessend geordnet werden. Soweit die betreffenden Anordnungen der Vergabebehörde indes einen gewissen Beurteilungsspielraum belassen, fehlt ihnen die für einen materiellen Teil- oder Vorentscheid qualifizierende Verbindlichkeit. Solche Anordnungen stellen lediglich Zwischenentscheide dar, die für den weiteren Verlauf des Verfahrens zwar bestimmend sind, ohne dass sie dieses aus der Sicht des betroffenen Interessenten jedoch abschliessen. Wie nachfolgend ausgeführt wird (E. 3.2.3), belässt die streitige Umschreibung der Eignungskriterien der Vergabebehörde zumindest bei der leistungsbezogenen Qualifikation der Referenznachweise einen gewissen Beurteilungs- und Ermessensspielraum, was nach dem Gesagten gegen einen materiellen Vorentscheid und für die Qualifikation als Zwischenentscheid spricht. Die Frage kann aber letztlich auch offengelassen werden. Mit der von der Beschwerdegegnerin angesprochenen Revision des Verwaltungsrechtspflegegesetzes wurde die Anfechtung von Teil-, Vor- und Zwischenentscheiden der Regelung von Art. 91–93 BGG angepasst (vgl. § 19a Abs. 2 und § 41 Abs. 3 VRG in der Fassung vom 22. März 2010 in Verbindung mit § 2 Abs. 2 IVöB-BeitrittsG). Vor- und Zwischenentscheide, die nicht die Zuständigkeit oder den Ausstand betreffen, sind gemäss diesen Bestimmungen nur dann selbständig mit Beschwerde anfechtbar, wenn sie einen nicht wiedergutzumachenden Nachteil bewirken (Art. 93 Abs. 1 lit. a BGG) oder wenn die Gutheissung der Beschwerde sofort einen Endentscheid herbeiführen und damit einen bedeutenden Aufwand an Zeit oder Kosten für ein weitläufiges Beweisverfahren ersparen würde (Art. 93 Abs. 1 lit. b BGG). Selbst wenn diese Voraussetzungen erfüllt sind, begründet dies indes noch keine Pflicht zur selbständigen Anfechtung. Gemäss Art. 93 Abs. 3 BGG können unangefochten gebliebene Vor- oder Zwischenentscheide vielmehr noch mit Beschwerde gegen den darauf basierenden Endentscheid angefochten werden, unabhängig davon, ob eine vorgängige selbständige Beschwerde dagegen zulässig gewesen wäre oder nicht.</w:t>
      </w:r>
    </w:p>
    <w:p>
      <w:r>
        <w:rPr>
          <w:b/>
        </w:rPr>
        <w:t>E. 3.2</w:t>
      </w:r>
    </w:p>
    <w:p>
      <w:r>
        <w:t>Anders verhält es sich nur, wenn der Betroffene nach dem Grundsatz von Treu und Glauben verpflichtet war, die ihm zustehenden Rügen in einem möglichst frühen Verfahrensstadium geltend zu machen, um einen unnötigen Verfahrensaufwand zu vermeiden (BGE 130 I 241 E. 4.3; VGr, 23. Mai 2007, VB.2006.00425, E. 5.2; Robert Wolf, Die Beschwerde gegen Vergabeentscheide – Eine Übersicht über die Rechtsprechung zu den neuen Rechtsmitteln, ZBl 104/2003, S. 10).</w:t>
      </w:r>
    </w:p>
    <w:p>
      <w:r>
        <w:rPr>
          <w:b/>
        </w:rPr>
        <w:t>E. 3.2.1</w:t>
      </w:r>
    </w:p>
    <w:p>
      <w:r>
        <w:t>Die Beschwerdegegnerin macht geltend, vorliegend habe eine solche Obliegenheit zur selbständigen Anfechtung oder zumindest zur informellen Rüge bei der Vergabestelle bestanden. Bei den streitigen Eignungsvorgaben handle es sich um klar messbare Anforderungen, deren Inhalt und Bedeutung von Anfang an offensichtlich gewesen seien. Der Beschwerdeführerin müsse angesichts der unmissverständlich formulierten und messbaren Kriterien von Beginn an klar gewesen sein, dass sie diese Anforderungen nicht erfülle. Stufe eine Interessentin die in der Ausschreibung und den Ausschreibungsunterlagen geforderten Kriterien als nicht haltbar, sachfremd und willkürlich ein, wie dies die Beschwerdeführerin tue, dann sei sie auch gehalten, dies der Vergabestelle rechtzeitig mitzuteilen. Andernfalls verhalte sie sich treuwidrig.</w:t>
      </w:r>
    </w:p>
    <w:p>
      <w:r>
        <w:rPr>
          <w:b/>
        </w:rPr>
        <w:t>E. 3.2.2</w:t>
      </w:r>
    </w:p>
    <w:p>
      <w:r>
        <w:t>Dem hält die Beschwerdeführerin entgegen, es könne ihr kein treuwidriges Verhalten vorgeworfen werden, zumal sie keinen Anlass gehabt habe anzunehmen, die Vergabebehörde würde von dem ihr zustehenden Beurteilungsermessen keinen Gebrauch machen und selbst schweizweit bekannten Tiefbauunternehmen die Eignung für die Ausführung der ausgeschriebenen, nicht besonders komplexen Arbeiten absprechen. Hinzu komme, dass einem Anbieter angesichts der kurzen Eingabefristen kaum zugemutet werden könne, währen des laufenden Verfahrens die Ausschreibung einer rechtlichen Prüfung zu unterziehen und Rechtsmittel zu erheben. Es wäre auch weltfremd anzunehmen, die Vergabebehörden würden sich beim Zuschlagsentscheid von der Erhebung eines Rechtsmittels nicht beeinflussen lassen.</w:t>
      </w:r>
    </w:p>
    <w:p>
      <w:r>
        <w:rPr>
          <w:b/>
        </w:rPr>
        <w:t>E. 3.2.3</w:t>
      </w:r>
    </w:p>
    <w:p>
      <w:r>
        <w:t>Wie die Beschwerdeführerin zutreffend bemerkt, verfügt die Vergabebehörde nicht nur bei der Festlegung der einzureichenden Eignungsnachweise, sondern auch bei deren Bewertung über ein grosses Ermessen. Soweit die Eignungsvorgaben Raum für solche Ermessensentscheide lassen, weil sie von ihrer Umschreibung her der Auslegung zugänglich sind, fehlt es aber in aller Regel an einem offensichtlichen "Mangel", dessen unverzügliche Beanstandung nach Treu und Glauben geboten wäre. Vorliegend wurde in der Ausschreibung unter dem Titel "Eignungskriterien" verlangt, dass die Anbieter Referenzen zu "mindestens</w:t>
      </w:r>
    </w:p>
    <w:p>
      <w:r>
        <w:rPr>
          <w:b/>
        </w:rPr>
        <w:t>E. 5</w:t>
      </w:r>
    </w:p>
    <w:p>
      <w:r>
        <w:t>Es bleibt zu prüfen, ob eine Korrektur der Eignungsanforderungen auf ein vertretbares Mass an der Eignungsbeurteilung der Beschwerdeführerin im Ergebnis etwas ändern würde.</w:t>
      </w:r>
    </w:p>
    <w:p>
      <w:r>
        <w:rPr>
          <w:b/>
        </w:rPr>
        <w:t>E. 5.1</w:t>
      </w:r>
    </w:p>
    <w:p>
      <w:r>
        <w:t>Die Beschwerdeführerin hält dafür, es sei nicht einzusehen, weshalb für den Nachweis der Eignung nicht eine einzige Referenz ausreiche. Wer einmal eine Bachbaute zur Zufriedenheit des Bauherrn ausgeführt habe, habe den Tatbeweis erbracht, dass er eine Bachbaute erstellen könne. Die zweite und dritte Referenz brauche es für den Nachweis der Eignung nicht mehr. Andernfalls müsste der Zeithorizont für die Berücksichtigung von Referenzprojekten ausgedehnt werden, zumal auch das AWEL in seiner Stellungnahme vom 28. Oktober 2011 festhalte, dass vor sieben und mehr Jahren ausgeführte Objekte nicht unbedingt ungeeignete Referenzen seien, wenn seither weitere Referenzobjekte ausgeführt worden seien. Im Übrigen habe die Baudirektion bei ihren eigenen Ausschreibungen betreffend die Revitalisierung von Hofibach und Moosbach jeweils nur zwei "vergleichbare Bachausbau- und Bachrevitalisierungs- sowie Rekultivierungs-"Referenzen aus den letzten 8 Jahren verlangt. Demgegenüber beharrt die Beschwerdegegnerin auf einem absoluten Minimum von zwei gleichwertigen Objekten aus den letzten fünf Jahren. Erfahrung hole man sich per Definition nur bei wiederholter Tätigkeit. Entscheidend sei zudem, dass die geforderte Erfahrung zum Ausführungszeitpunkt noch gewährleistet sei. Bei älteren Referenzobjekten sei fraglich, ob das entsprechende Know-how und insbesondere die erfahrenen Personen nach wie vor in der Firma vorhanden seien. Ältere Referenzobjekte vermöchten zudem als Nachweis zur Erfüllung der Anforderungen, die sich im Rahmen der heutigen gesetzlichen Vorgaben stellten, nicht mehr zu genügen, da die Ansprüche an Renaturierungsbaustellen in den letzten Jahren gestiegen seien. Die beschwerdegegnerische Forderung nach mehr als einer einschlägigen Referenz ist nachvollziehbar und kann ohne Weiteres als vertretbar gewertet werden. Dabei kann offenbleiben, wo vorliegend die Grenze des Vertretbaren verläuft. Entsprechendes gilt auch für den Referenzzeitraum von fünf Jahren. Insbesondere ist nicht ersichtlich, dass es im massgeblichen Zeitraum zu wenige solche Referenzprojekte gegeben hätten. So haben doch immerhin fünf der Anbieterinnen drei und mehr Referenzprojekte genannt. An der Vertretbarkeit dieser reduzierten Eignungsvorgaben vermag im Übrigen auch der Umstand nichts zu ändern, dass andere Vergabestellen in vergleichbaren Fällen abweichende Vorgaben setzen würden oder bereits gesetzt haben.</w:t>
      </w:r>
    </w:p>
    <w:p>
      <w:r>
        <w:rPr>
          <w:b/>
        </w:rPr>
        <w:t>E. 5.2</w:t>
      </w:r>
    </w:p>
    <w:p>
      <w:r>
        <w:t>Die Beschwerdeführerin verfügt nur über eine anrechenbare Referenz. Ein weiteres Referenzprojekt liegt mit sieben Jahren klar ausserhalb der gesetzten Frist, und bei den verbleibenden vier Referenzen räumt die Beschwerdeführerin selbst ein, dass diese nicht die Renaturierung von Bachläufen betreffen. Mithin vermöchte sie auch die auf ein vertretbares Mass reduzierten Anforderungen an den Eignungsnachweis nicht zu erfüllen. Ihr Ausschluss erweist sich demzufolge im Ergebnis als rechtmässig, was zur Abweisung der Beschwerde führt. Ob der Verzicht auf die Statuierung qualitativer Zuschlagskriterien vorliegend zulässig war, kann unter diesen Umständen offenbleiben, zumal auch die Beschwerdeführerin nicht geltend macht, bei einer Neuauflage der Vergabe würden sich ihre Chancen durch die Berücksichtigung qualitativer Zuschlagskriterien erhöhen.</w:t>
      </w:r>
    </w:p>
    <w:p>
      <w:r>
        <w:rPr>
          <w:b/>
        </w:rPr>
        <w:t>E. 6</w:t>
      </w:r>
    </w:p>
    <w:p>
      <w:r>
        <w:t>Bei diesem Ausgang des Verfahrens wird die Beschwerdeführerin kostenpflichtig (§ 70 in Verbindung mit § 13 Abs. 2 VRG) und steht ihr eine Parteientschädigung von vornherein nicht zu (§ 17 Abs. 2 VRG). Dagegen ist sie zu einer solchen an die Beschwerdegegnerin zu verpflichten (§ 17 Abs. 2 lit. a VRG), wobei zu berücksichtigen ist, dass diese mit der Beschwerdeantwort weitgehend nur die ihr obliegende Begründung des Vergabeentscheids nachgeholt hat. Angemessen sind Fr. 1'000.-.</w:t>
      </w:r>
    </w:p>
    <w:p>
      <w:r>
        <w:rPr>
          <w:b/>
        </w:rPr>
        <w:t>E. 7</w:t>
      </w:r>
    </w:p>
    <w:p>
      <w:r>
        <w:t>Da der geschätzte Wert der zu vergebenden Tiefbauarbeiten den im Staatsvertragsbereich massgeblichen Schwellenwert nicht erreicht (Art. 1 lit. c der Verordnung des EVD vom 23. November 2011 über die Anpassung der Schwellenwerte im öffentlichen Beschaffungswesen für die Jahre 2012 und 2013), ist gegen diesen Entscheid nur die subsidiäre Verfassungsbeschwerde nach Art. 113 ff. BGG zulässig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