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VB.2011.00561 vom 13. Dezember 2011</w:t>
      </w:r>
    </w:p>
    <w:p>
      <w:r>
        <w:t>ZH Verwaltungsgericht, 2011-12-13, DE</w:t>
      </w:r>
    </w:p>
    <w:p>
      <w:r>
        <w:rPr>
          <w:b/>
        </w:rPr>
        <w:t xml:space="preserve">Quelle: </w:t>
      </w:r>
      <w:r>
        <w:t>https://mcp.opencaselaw.ch/entscheid/zh_verwaltungsgericht__VB.2011.00561</w:t>
      </w:r>
    </w:p>
    <w:p>
      <w:r>
        <w:t>FR: ZH_VERWALTUNGSGERICHT VB.2011.00561 du 13 décembre 2011</w:t>
      </w:r>
    </w:p>
    <w:p>
      <w:r>
        <w:t>IT: ZH_VERWALTUNGSGERICHT VB.2011.00561 del 13 dicembre 2011</w:t>
      </w:r>
    </w:p>
    <w:p>
      <w:pPr>
        <w:pStyle w:val="Heading2"/>
      </w:pPr>
      <w:r>
        <w:t>Regeste</w:t>
      </w:r>
    </w:p>
    <w:p>
      <w:r>
        <w:t>Führerausweisentzug | Sicherungsentzug: Nichteinhaltung der Auflage der Totalabstinenz, Haaranalyse, Sachverhaltsermittlung. Im verkehrsmedizinischen Gutachten des IRMZ wurde der Toleranzabzug (Messunsicherheit) von 25 % für die forensisch-toxikologische Haaranalyse auf Ethylglucuronid offenbar nicht berücksichtigt. Zudem widerspricht die im Gutachten angegebene Nachweisgrenze der verkehrsmedizinischen Stellungnahme des IRMZ an den Beschwerdegegner (7 versus 5 pg/mg; E. 4.3.1). Die verfügende Behörde ist bei der Sachverhaltsermittlung bezüglich der Einhaltung der statuierten Auflagen nicht auf die Durchführung der forensisch-toxikologischen Haaranalyse und deren Ergebnisse beschränkt. Daneben stehen ihr die in § 7 Abs. 1 VGR (in nicht abschliessender Weise) aufgezählten Untersuchungsmittel zur Verfügung, namentlich die Befragung des Beteiligten (E. 4.3.2). Der Beschwerdeführer hat schriftlich und mündlich mehrmals bestätigt, in der fraglichen Periode hin und wieder alkoholische Getränke konsumiert zu haben (E. 4.3.3), womit bei ihm eine Alkoholtotalabstinenz unabhängig von der durchgeführten Haaranalyse ausgeschlossen werden kann (E. 4.3.3). Abweisung.</w:t>
      </w:r>
    </w:p>
    <w:p>
      <w:pPr>
        <w:pStyle w:val="Heading2"/>
      </w:pPr>
      <w:r>
        <w:t>Erwägungen</w:t>
      </w:r>
    </w:p>
    <w:p>
      <w:r>
        <w:rPr>
          <w:b/>
        </w:rPr>
        <w:t>E. 5</w:t>
      </w:r>
    </w:p>
    <w:p>
      <w:r>
        <w:t>Verstösst ein Fahrzeugführer gegen eine Beschränkung oder Auflage, kann der Führerausweis gemäss Art. 16 Abs. 1 SVG entzogen werden (fakultativer Entzugsgrund).</w:t>
      </w:r>
    </w:p>
    <w:p>
      <w:r>
        <w:rPr>
          <w:b/>
        </w:rPr>
        <w:t>E. 5.1</w:t>
      </w:r>
    </w:p>
    <w:p>
      <w:r>
        <w:t>Die Würdigung der Vorinstanz (Rekursentscheid E. 7), wonach das öffentliche Interesse an der Freihaltung des Verkehrs von Fahrzeuglenkern mit Suchtproblemen das entgegenstehende private Interesse des Beschwerdeführers überwiege, ist nachvollziehbar. Der Beschwerdeführer ist wegen Fahrens in angetrunkenem Zustand zweifach vorbelastet, und es wurde bei ihm bis zum Zeitpunkt seiner Verhaftung im März 2009 eine Kokainabhängigkeit sowie ein schädlicher Gebrauch von Alkohol festgestellt (siehe Gutachten vom 18. Januar 2010 mit der Aussage des Beschwerdeführers, an manchen Wochenenden eine Flasche Wodka getrunken zu haben). Ob der Gebrauch tatsächlich gesundheitsschädigende Auswirkungen gezeitigt hat, was sein Psychotherapeut B in seinem Schreiben vom 14. Oktober 2011 in Abrede stellt, ist für den Begriff der Sucht im Sinn von Art. 16d Abs. 1 lit. b SVG nicht massgebend, da der Sicherungsentzug auf die Verhinderung einer Gefährdung der Verkehrssicherheit abzielt (BGE 133 II 331 E. 9.1). Insofern ist ein Suchtleiden im Sinn der Bestimmung schon gegeben, wenn eine Person konkret gefährdet ist, im medizinischen Sinn abhängig von Alkohol oder einer anderen Substanz zu werden ( Hans Giger , Kommentar SVG, 7. A., Zürich 2008, Art. 17 N. 10). Unabhängig vom Fortbestehen einer akuten Abhängigkeit ist es daher aufgrund der grossen Rückfallgefahr bei Suchterkrankungen gerechtfertigt, für einen gewissen Zeitraum auflageweise die strikte Einhaltung einer Totalabstinenz zu verlangen.</w:t>
      </w:r>
    </w:p>
    <w:p>
      <w:r>
        <w:rPr>
          <w:b/>
        </w:rPr>
        <w:t>E. 5.2</w:t>
      </w:r>
    </w:p>
    <w:p>
      <w:r>
        <w:t>Der günstig lautende psychiatrische Verlaufsbericht von B vom 22. September 2010 bezieht sich im Wesentlichen auf die Lebensumstände des Beschwerdeführers und enthält keinen Beleg für die Ergebnisse der am 21. Juni bzw. 3. September 2010 durchgeführten Urinproben, deren Aussagekraft in zeitlicher Hinsicht ohnehin äusserst beschränkt ist (Rekursentscheid E. 6d). Da es vorliegend um einen Sicherungsentzug geht, der den Schutz von Leib und Leben der Verkehrsteilnehmer bezweckt, fallen schliesslich die beruflichen Gründe des Beschwerdeführers, aus denen er auf seinen Führerausweis angewiesen sei, nicht ins Gewicht. Der Sicherungsentzug erweist sich somit als recht- und verhältnismässig.</w:t>
      </w:r>
    </w:p>
    <w:p>
      <w:r>
        <w:rPr>
          <w:b/>
        </w:rPr>
        <w:t>E. 5.3</w:t>
      </w:r>
    </w:p>
    <w:p>
      <w:r>
        <w:t>Wie bereits im Rekursverfahren ist der Beschwerdeführer darauf hinzuweisen, dass es ihm freisteht, sich jederzeit für eine erneute verkehrsmedizinische Untersuchung beim IRMZ anzumelden, um den Nachweis einer mindestens sechs Monate dauernden Totalabstinenz zu erbringen.</w:t>
      </w:r>
    </w:p>
    <w:p>
      <w:r>
        <w:rPr>
          <w:b/>
        </w:rPr>
        <w:t>E. 6</w:t>
      </w:r>
    </w:p>
    <w:p>
      <w:r>
        <w:t>Soweit der Beschwerdeführer beantragt, die von ihm an das IRMZ gezahlten Beiträge seien zurückzuerstatten, das IRMZ für Falschaussagen und Willkür zur Rechenschaft zu ziehen und die Nachweisgrenzen, Toleranzwerte und Vorgehensweisen seien offenzulegen, ist darauf nicht einzutreten, weil es sich dabei um neue und somit unzulässige Sachbegehren handelt. Der Streitgegenstand wurde durch das im Rekursverfahren gestellte Rechtsbegehren begrenzt. Dieses darf im Beschwerdeverfahren nicht abgeändert oder erweitert werden (Kölz/Bosshart/Röhl, Vorbem. zu §§ 19−28 N. 86 sowie § 52 N. 3).</w:t>
      </w:r>
    </w:p>
    <w:p>
      <w:r>
        <w:rPr>
          <w:b/>
        </w:rPr>
        <w:t>E. 7</w:t>
      </w:r>
    </w:p>
    <w:p>
      <w:r>
        <w:t>Folglich ist die Beschwerde abzuweisen, soweit darauf einzutreten ist. Ausgansgemäss sind die Kosten dem Beschwerdeführer aufzuerlegen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