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VB.2011.00474 vom 24. November 2011</w:t>
      </w:r>
    </w:p>
    <w:p>
      <w:r>
        <w:t>ZH Verwaltungsgericht, 2011-11-24, DE</w:t>
      </w:r>
    </w:p>
    <w:p>
      <w:r>
        <w:rPr>
          <w:b/>
        </w:rPr>
        <w:t xml:space="preserve">Quelle: </w:t>
      </w:r>
      <w:r>
        <w:t>https://mcp.opencaselaw.ch/entscheid/zh_verwaltungsgericht__VB.2011.00474</w:t>
      </w:r>
    </w:p>
    <w:p>
      <w:r>
        <w:t>FR: ZH_VERWALTUNGSGERICHT VB.2011.00474 du 24 novembre 2011</w:t>
      </w:r>
    </w:p>
    <w:p>
      <w:r>
        <w:t>IT: ZH_VERWALTUNGSGERICHT VB.2011.00474 del 24 novembre 2011</w:t>
      </w:r>
    </w:p>
    <w:p>
      <w:pPr>
        <w:pStyle w:val="Heading2"/>
      </w:pPr>
      <w:r>
        <w:t>Regeste</w:t>
      </w:r>
    </w:p>
    <w:p>
      <w:r>
        <w:t>Elektrizitätsanschluss- und Erschliessungsgebühren | Elektrizitätsanschlussgebühren und Erschliessungsbeiträge: sachliche Unzuständigkeit der Vorinstanz. Es liegt ein Zwischenentscheid im Sinn von § 41 Abs. 3 und § 19a Abs. 2 VRG in Verbindung mit Art. 93 Abs. 1 lit. b BGG vor (E. 1). Rechtsfolgen bei sachlicher Unzuständigkeit einer Behörde (E. 2.2). Der Bezirksrat wäre sachlich zuständige Rechtsmittelinstanz gewesen. Das Baurekursgericht hat im infrage stehenden Bereich keine Entscheidungsgewalt (E. 2.3). Es wäre zwingend angezeigt gewesen, dass der zuständige Bezirksrat die Sache anhand genommen und überprüft hätte (E. 2.4). Gutheissung der Beschwerde, Aufhebung des vorinstanzlichen Entscheids und Überweisung der Sache an den Bezirksrat.</w:t>
      </w:r>
    </w:p>
    <w:p>
      <w:pPr>
        <w:pStyle w:val="Heading2"/>
      </w:pPr>
      <w:r>
        <w:t>Erwägungen</w:t>
      </w:r>
    </w:p>
    <w:p>
      <w:r>
        <w:rPr>
          <w:b/>
        </w:rPr>
        <w:t>E. 3</w:t>
      </w:r>
    </w:p>
    <w:p>
      <w:r>
        <w:t>Abteilung VB.2011.00474 Urteil der 3. Kammer vom 24. November 2011 Mitwirkend: Abteilungspräsident Rudolf Bodmer (Vorsitz) , Verwaltungsrichterin Bea Rotach Tomschin, Verwaltungsrichterin Elisabeth Trachsel, Gerichtsschreiberin Anja Tschirky. In Sachen Gemeinde A, vertreten durch die Werkkommission, diese vertreten durch B, Beschwerdeführerin, gegen C AG, vertreten durch RA D, Beschwerdegegnerin, betreffend Elektrizitätsanschlussgebühren und Erschliessungsbeiträge, hat sich ergeben: I. A. Die C AG ist Eigentümerin des Grundstücks Kat.-Nr. 01 an der E-Strasse in der Gemeinde A. Das Grundstück befindet sich in der Gewerbezone 1 und wurde gemäss dem 1995 festgesetzten und genehmigten Quartierplan F erschlossen. Gemäss den Angaben im Technischen Bericht vom 20. Juni 1995 wurde die Transformatoren-Station G als primäre Feinerschliessung errichtet. Die dafür aufgewendeten Kosten wurden gemäss Reglement vom Elektrizitätswerk A (nachfolgend EWA) und von den Verbrauchern gemäss Quartierplan F gemeinsam getragen. Als sekundäre Feinerschliessung wurde nur das Kabelrohrnetz (Leerrohre) innerhalb der Strassen und Wege vorgesehen, wobei analog zur primären Feinerschliessung die Kosten zulasten Dritter ausgewiesen wurden. Die Kosten für die elektrische Erschliessung wurden im geschätzten Umfang von Fr. 430'800.- dem Quartierplan F belastet und nach Festlegung eines Perimeters von den Grundeigentümern nach Massgabe der Fläche ihrer Grundstücke getragen. Im Jahr 2000 wurde die Transformatoren-Station G erstellt. B. Für den Anschluss des Neubaus E-Strasse 02 auf dem Grundstück Kat.-Nr. 01 auferlegte die Werkkommission der Gemeinde A (nachfolgend Werkkommission) der C AG am 20. Mai 2010 insbesondere folgende Kosten: (1) den Feinerschliessungsbeitrag der elektrischen Erschliessung für den Neubau E-Strasse 02 in Höhe von Fr. 95'566.- exklusive Mehrwertsteuer, wobei die Aufwendungen nach effektivem Aufwand verrechnet würden; (2) die Kosten der Hausanschlussleitung ab der neuen Verteilkabine mit zwei Kabel</w:t>
      </w:r>
    </w:p>
    <w:p>
      <w:r>
        <w:rPr>
          <w:b/>
        </w:rPr>
        <w:t>E. 4</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024 II 027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024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