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VB.2011.00371 vom 23. November 2011</w:t>
      </w:r>
    </w:p>
    <w:p>
      <w:r>
        <w:t>ZH Verwaltungsgericht, 2011-11-23, DE</w:t>
      </w:r>
    </w:p>
    <w:p>
      <w:r>
        <w:rPr>
          <w:b/>
        </w:rPr>
        <w:t xml:space="preserve">Quelle: </w:t>
      </w:r>
      <w:r>
        <w:t>https://mcp.opencaselaw.ch/entscheid/zh_verwaltungsgericht__VB.2011.00371</w:t>
      </w:r>
    </w:p>
    <w:p>
      <w:r>
        <w:t>FR: ZH_VERWALTUNGSGERICHT VB.2011.00371 du 23 novembre 2011</w:t>
      </w:r>
    </w:p>
    <w:p>
      <w:r>
        <w:t>IT: ZH_VERWALTUNGSGERICHT VB.2011.00371 del 23 novembre 2011</w:t>
      </w:r>
    </w:p>
    <w:p>
      <w:pPr>
        <w:pStyle w:val="Heading2"/>
      </w:pPr>
      <w:r>
        <w:t>Regeste</w:t>
      </w:r>
    </w:p>
    <w:p>
      <w:r>
        <w:t>Entzug der Bewilligung zum dauernden Hinausschieben der Schliessungsstunde | [Der Rechtsvertreterin der Beschwerdeführenden wurde vollumfänglich Akteneinsicht gewährt. Ihr wurde jedoch untersagt, die Namen der Anzeigeerstatter ihren Klienten bekannt zu geben.] Kognition des Verwaltungsgerichts (E. 2). Das Akteneinsichtsrecht als Teilgehalt des Anspruchs auf rechtliches Gehör vermittelt grundsätzlich den Anspruch auf Einsicht in sämtliche beweiserheblichen Akten (E. 3.2.1). Schutzwürdige private Interessen, die eine Verweigerung oder Beschränkung der Akteneinsicht zu rechtfertigen vermögen, bilden vor allem die Wahrung von Persönlichkeitsrechten und der Schutz von Geschäftsgeheimnissen der Beteiligten, ihrer Angehörigen oder von Drittpersonen (E. 3.2.2). Den Beschwerdeführenden hätte vollumfänglich Akteneinsicht gewährt werden müssen (E. 3.4). Der Anspruch auf rechtliches Gehör ist formeller Natur und setzt keinen Nachweis eines materiellen Interesses voraus (E. 3.5.1). Da die Kognition des Verwaltungsgerichts auf Rechtsverletzungen beschränkt ist und vorliegend das rechtliche Gehör der Beschwerdeführenden verletzt wurde, sind eine Rückweisung an die Vorinstanz und ein Neuentscheid unumgänglich (E. 3.5.1). Kostenfolgen (E. 4). Teilweise Gutheissung. Rückweisung.</w:t>
      </w:r>
    </w:p>
    <w:p>
      <w:pPr>
        <w:pStyle w:val="Heading2"/>
      </w:pPr>
      <w:r>
        <w:t>Erwägungen</w:t>
      </w:r>
    </w:p>
    <w:p>
      <w:r>
        <w:rPr>
          <w:b/>
        </w:rPr>
        <w:t>E. 4</w:t>
      </w:r>
    </w:p>
    <w:p>
      <w:r>
        <w:t>Bei Rückweisungen geht die Praxis regelmässig von einem je hälftigen Obsiegen und Unterliegen der Parteien aus (vgl. etwa VGr, 1. April 2009, PB.2008.00050, E. 7). Die Gerichtskosten sind deshalb den Beschwerdeführenden unter solidarischer Haftung füreinander je zu 1/6 und der Beschwerdegegnerin zur Hälfte aufzuerlegen (vgl. § 65a Abs. 2 in Verbindung mit § 13 Abs. 2 Satz 1 und § 14 VRG; vgl. Kölz/Bosshart/Röhl, § 14 N. 3). Da die Beschwerdeführenden nicht mehrheitlich obsiegen, ist ihnen keine Parteientschädigung zuzusprechen (§ 17 Abs. 2 VRG; Kölz/Bosshart/Röhl, § 17 N. 32).</w:t>
      </w:r>
    </w:p>
    <w:p>
      <w:r>
        <w:rPr>
          <w:b/>
        </w:rPr>
        <w:t>E. 5</w:t>
      </w:r>
    </w:p>
    <w:p>
      <w:r>
        <w:t>Zur Rechtsmittelbelehrung des nachstehenden Dispositivs ist Folgendes zu erläutern: Nach der Regelung in Art. 90 ff. des Bundesgerichtsgesetzes vom 17. Juni 2005 (BGG, SR 173.110) sind letztinstanzliche kantonale Rückweisungsentscheide als Vor- oder – eher – Zwischenentscheide im Sinn von Art. 93 BGG zu qualifizieren (Felix Uhlmann, Basler Kommentar, 2008, Art. 90 BGG N. 9 Abs. 2; Hansjörg Seiler/Nicolas von Werdt/Andreas Güngerich, Bundesgerichtsgesetz, Bern 2007, Art. 90 N. 9, Art. 93 N. 2; Frage offen gelassen in BGE 134 II 137 E. 1.3.3).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