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VB.2011.00335 vom 8. Dezember 2011</w:t>
      </w:r>
    </w:p>
    <w:p>
      <w:r>
        <w:t>ZH Verwaltungsgericht, 2011-12-08, DE</w:t>
      </w:r>
    </w:p>
    <w:p>
      <w:r>
        <w:rPr>
          <w:b/>
        </w:rPr>
        <w:t xml:space="preserve">Quelle: </w:t>
      </w:r>
      <w:r>
        <w:t>https://mcp.opencaselaw.ch/entscheid/zh_verwaltungsgericht__VB.2011.00335</w:t>
      </w:r>
    </w:p>
    <w:p>
      <w:r>
        <w:t>FR: ZH_VERWALTUNGSGERICHT VB.2011.00335 du 8 décembre 2011</w:t>
      </w:r>
    </w:p>
    <w:p>
      <w:r>
        <w:t>IT: ZH_VERWALTUNGSGERICHT VB.2011.00335 del 8 dicembre 2011</w:t>
      </w:r>
    </w:p>
    <w:p>
      <w:pPr>
        <w:pStyle w:val="Heading2"/>
      </w:pPr>
      <w:r>
        <w:t>Regeste</w:t>
      </w:r>
    </w:p>
    <w:p>
      <w:r>
        <w:t>Sozialhilfe | Rückerstattung von Fürsorgeleistungen nach einer Erbteilung. Die von 1994-2000 sozialhilfeabhängige Beschwerdeführerin wurde zu Recht zur Rückzahlung von Fürsorgeleistungen in der Höhe von rund Fr. 116'000.- verpflichtet, nachdem sie 2010 mehr als Fr. 200'000.- geerbt hatte. Nicht massgebend ist, in welchem Umfang sie das geerbte Geld bereits wieder ausgegeben hat (E. 4.1) und ob die Erbschaft insgesamt zu einer nachhaltigen Verbesserung ihrer finanziellen Verhältnisse geführt hat (E. 4.2). Die Rückerstattungsforderung betrifft teilweise Sozialhilfeleistungen, die vor mehr als 15 Jahren ausgerichtet wurden; sie ist aber noch nicht verjährt, da die Beschwerdeführerin 1994 eine Rückerstattungsverpflichtung unterzeichnet hatte (E. 4.3). Abweisung.</w:t>
      </w:r>
    </w:p>
    <w:p>
      <w:pPr>
        <w:pStyle w:val="Heading2"/>
      </w:pPr>
      <w:r>
        <w:t>Erwägungen</w:t>
      </w:r>
    </w:p>
    <w:p>
      <w:r>
        <w:rPr>
          <w:b/>
        </w:rPr>
        <w:t>E. 3</w:t>
      </w:r>
    </w:p>
    <w:p>
      <w:r>
        <w:t>Die Beschwerdeführerin macht geltend, die Sozialhilfebehörde habe sie zu Unrecht zur Rückerstattung bezogener Sozialhilfeleistungen in der Höhe von Fr. 115'590.80 verpflichtet. Das ererbte Vermögen biete ihr endlich die Möglichkeit, finanziell längerfristig selbständig zu bleiben und die Existenz ihrer Familie zu stabilisieren. Die Auferlegung einer vollumfänglichen Rückerstattungspflicht würde demgegenüber dazu führen, dass sie wieder sozialhilfebedürftig würde, weil sie – als alleinerziehende Mutter von vier Kindern – nicht über ein genügendes Einkommen aus Lohn- und Alimentenzahlungen verfüge, um eine 5-köpfige Familie zu ernähren. Finanziell besonders belastend sei die Situation, weil eines ihrer Kinder behindert sei, das zweite hohe Kosten für Zahnbehandlungen aufweise, das dritte momentan arbeitslos sei und das vierte die Lastwagenprüfung absolvieren wolle.</w:t>
      </w:r>
    </w:p>
    <w:p>
      <w:r>
        <w:rPr>
          <w:b/>
        </w:rPr>
        <w:t>E. 4.1</w:t>
      </w:r>
    </w:p>
    <w:p>
      <w:r>
        <w:t>Die Beschwerdeführerin bestreitet nicht, dass sie von 1975–2010 einer Erbengemeinschaft angehörte, dass sie in den Jahren 1994−2000 Unterstützungsleistungen in der Höhe von Fr. 115'590.80 erhielt und dass sie am 4. Oktober 2010 Fr. 225'000.- geerbt hat. Daraus schloss die Sozialbehörde zu Recht, dass die Beschwerdeführerin bereits zu Beginn ihrer Sozialhilfeabhängigkeit über Vermögenswerte in erheblichem Umfang in Form einer unverteilten Erbschaft verfügte, deren Realisierung ihr zunächst nicht möglich war und zu deren Rückerstattung sie nach der Realisierung (Erbteilung) verpflichtet war (§ 27 Abs. 1 lit. c in Verbindung mit § 20 Abs. 1 SHG). Zu Recht nicht als massgebend erachtete die Vorinstanz die Frage, in welchem Umfang die zugeflossenen Vermögenswerte zum Zeitpunkt der Rück­forderung noch vorhanden sind: Rückerstattungspflichtig ist beispielsweise auch ein Er­be, der den ihm zustehenden Erbanteil zwar bezogen hat, das Geld aber sogleich für verschie­dene Verpflichtungen wieder ausgibt (VGr, 19. Juni 2003, VB.2003.00107, E. 2b und 4, teilweise publiziert in RB 2003 Nr. 67). Da der Betrag, den die Beschwerdeführerin geerbt hat (Fr. 225'000.-), die erhaltenen Unterstützungsleistungen (Fr. 115'590.80) – auch unter Berücksichtigung der zu gewährenden Vermögensfreibeträge ( vgl. SKOS-Richtlinie Kap. E. 2.1 S. 3) – übersteigt, wurde die Beschwerdeführerin zu Recht zur vollumfänglichen Rückerstattung der bezogenen Leistungen verpflichtet.</w:t>
      </w:r>
    </w:p>
    <w:p>
      <w:r>
        <w:rPr>
          <w:b/>
        </w:rPr>
        <w:t>E. 4.2</w:t>
      </w:r>
    </w:p>
    <w:p>
      <w:r>
        <w:t>Die Beschwerdeführerin bringt zwar vor, dass ihr im Fall einer vollumfänglichen Rückerstattungsverpflichtung ein Rückfall in die Sozialhilfebedürftigkeit drohe, da sie nicht über genügend Einnahmen verfüge, um ihre 5-köpfige Familie zu ernähren. Dieser Einwand überzeugt indessen nicht: Eine Person, die Sozialhilfe bezogen hat, ist unabhängig von ihrer momentanen finanziellen Situation zur Rückzahlung der bezogenen Leistungen verpflichtet, wenn sie erhebliche Vermögenswerte realisiert. Sie kann sogar dann zur Rückzahlung der bezogenen Leistungen verpflichtet werden, wenn sie trotz der Realisierung erheblicher Vermögenswerte verschuldet bleibt (VGr, 27. Oktober 2011, VB.2011.00461, E. 6 [zur Publikation vorgesehen]; RB 2003 Nr. 67 [VB.2003.00241], E. 4a). Dies schliesst nicht aus, dass der finanziellen Situation der Beschwerdeführerin im Rahmen eines Erlassverfahrens doch noch Rechnung getragen wird, wobei ein allfälliger Erlass das Vorliegen eines rechtskräftigen Rückerstattungsentscheids gerade voraussetzt. Ferner wird die finanzielle Situation der Beschwerdeführerin auch insofern zu berücksichtigen sein, als die betreibungsrechtliche Durchsetzung der Rückerstattungsforderung nur unter Wahrung des Existenzminimums möglich ist.</w:t>
      </w:r>
    </w:p>
    <w:p>
      <w:r>
        <w:rPr>
          <w:b/>
        </w:rPr>
        <w:t>E. 4.3</w:t>
      </w:r>
    </w:p>
    <w:p>
      <w:r>
        <w:t>Zu prüfen bleibt die – weder von der Vorinstanz noch von den Parteien thematisierte – Frage, ob der Rückerstattungsforderung zeitliche Hindernisse entgegenstehen. Nach § 30 Abs. 1 SHG können Leistungen, die im Zeitpunkt der Rückerstattungsverfügung mehr als 15 Jahre zurückliegen, nicht mehr zurückgefordert werden; ausgenommen sind Leistungen, für die eine Rückerstattungsverpflichtung nach § 20 SHG eingegangen worden ist. Gemäss der Rechtsprechung des Verwaltungsgerichts bewirkt das Fehlen einer unterzeichneten Rückerstattungsverpflichtung im Sinn von § 20 SHG, dass die im Zeitpunkt der Rückerstattungsverfügung länger als 15 Jahre zurückliegenden Leistungen absolut verjähren (VGr, 15. September 2005, VB.2005.00219, E. 3.5). Wenn – wie hier – der Staat Gläubiger einer Forderung ist, muss die Verjährung von Amtes wegen beachtet werden; eine Einrede des Privaten ist nicht erforderlich (vgl. BGE 133 II 366 E. 3.3). Im vorliegenden Fall stellt sich die Verjährungsfrage in Bezug auf die Sozialhilfeleistungen, die die Beschwerdeführerin mehr als 15 Jahre vor der am 12. April 2011 erlassenen Rückerstattungsverfügung erhalten hat, d. h. in Bezug auf die vom 1. Januar 1994 bis zum 12. April 1996 bezogenen Leistungen in der Höhe von Fr. 46'523.30 . Der Verjährung der Rückerstattungsforderung steht indessen die von der Beschwerdeführerin am 6. Januar 1994 unterzeichnete Erklärung zu ihren Einkommens- und Vermögensverhältnissen entgegen. Darin verpflichtete sie sich unter anderem, die erhaltene Unterstützung zurückzuerstatten, wenn sie durch Erbschaft in finanziell günstige Verhältnisse gelange oder wenn sie über momentan nicht realisierbare Vermögenswerte verfügen könne. In der gleichen Erklärung gab die Beschwerdeführerin an, über einen erheblichen Vermögenswert in Form einer unverteilten Erbschaft zu verfügen. Damit liegt eine Rückerstattungsverpflichtung im Sinn von § 20 Abs. 1 SHG vor, die gemäss § 30 Abs. 1 Satz 2 SHG zur Folge hat, dass auch Leistungen zurückgefordert werden können, die im Zeitpunkt der Rückerstattungsverfügung mehr als 15 Jahre zurückliegen.</w:t>
      </w:r>
    </w:p>
    <w:p>
      <w:r>
        <w:rPr>
          <w:b/>
        </w:rPr>
        <w:t>E. 5</w:t>
      </w:r>
    </w:p>
    <w:p>
      <w:r>
        <w:t>Demnach ist die Beschwerde abzuweisen. Ausgangsgemäss sind die Kosten des Verfahrens der Beschwerdeführerin aufzuerlegen (§ 65a Abs. 2 in Verbindung mit § 13 Abs. 2 VRG). Ihren bedrängten Verhältnissen ist durch Ansetzung einer reduzierten Gerichtsgebühr Rechnung zu tragen (Alfred Kölz/Jürg Bosshart/Martin Röhl, Kommentar zum Verwaltungsrechtspflegegesetz des Kantons Zürich, 2. A., Zürich 1999, § 13 N. 10). Die Zusprechung einer Parteientschädigung wurde von keiner Seite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