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VB.2011.00248 vom 17. Januar 2007</w:t>
      </w:r>
    </w:p>
    <w:p>
      <w:r>
        <w:t>ZH Verwaltungsgericht, 2007-01-17, DE</w:t>
      </w:r>
    </w:p>
    <w:p>
      <w:r>
        <w:rPr>
          <w:b/>
        </w:rPr>
        <w:t xml:space="preserve">Quelle: </w:t>
      </w:r>
      <w:r>
        <w:t>https://mcp.opencaselaw.ch/entscheid/zh_verwaltungsgericht__VB.2011.00248</w:t>
      </w:r>
    </w:p>
    <w:p>
      <w:r>
        <w:t>FR: ZH_VERWALTUNGSGERICHT VB.2011.00248 du 17 janvier 2007</w:t>
      </w:r>
    </w:p>
    <w:p>
      <w:r>
        <w:t>IT: ZH_VERWALTUNGSGERICHT VB.2011.00248 del 17 gennaio 2007</w:t>
      </w:r>
    </w:p>
    <w:p>
      <w:pPr>
        <w:pStyle w:val="Heading2"/>
      </w:pPr>
      <w:r>
        <w:t>Regeste</w:t>
      </w:r>
    </w:p>
    <w:p>
      <w:r>
        <w:t>Bauverweigerung | Bauverweigerung für den Neubau von drei Mehrfamilienhäusern: Einordnung. Eine Beschränkung des Bauvolumens, welche aus kommunalen Kernzonenvorschriften abgeleitet wird, bedarf keiner ausserordentlicher Umstände, wie sie von der Rechtsprechung verlangt werden, wenn gestützt auf § 238 PBG das auf einem Grundstück zulässige Bauvolumen nicht ausgeschöpft werden darf (E. 3.2.1). Die kommunale Baubehörde hat den ihr bei der Anwendung von § 238 PBG sowie der Kernzonenvorschriften zustehenden Ermessensspielraum sachgerecht gehandhabt. Die aufgezeigten Mängel (E. 4.2-4) können wegen ihrer Vielzahl und ihrer inhaltlichen Bedeutung nicht ohne besondere Schwierigkeiten behoben werden. Die Mängel können daher nicht durch eine Nebenbestimmung geheilt werden (E. 4.5). Abweisung.</w:t>
      </w:r>
    </w:p>
    <w:p>
      <w:pPr>
        <w:pStyle w:val="Heading2"/>
      </w:pPr>
      <w:r>
        <w:t>Erwägungen</w:t>
      </w:r>
    </w:p>
    <w:p>
      <w:r>
        <w:rPr>
          <w:b/>
        </w:rPr>
        <w:t>E. 5.1</w:t>
      </w:r>
    </w:p>
    <w:p>
      <w:r>
        <w:t>Im Hinblick auf die nachfolgende Projektierung hat das Baurekursgericht bemerkungsweise zu verschiedenen weiteren Rekurspunkten Stellung genommen, zu welchen sich die Parteien auch im Beschwerdeverfahren aussprechen. Aus Gründen der Verfahrensökonomie nimmt auch das Verwaltungsgericht zur Rechtslage bezüglich Weg- bzw. Strassenabstand des Trafohäuschens Stellung. Zu den übrigen Punkten ist eine Stellungnahme des Verwaltungsgerichts hingegen nicht angebracht, da es sich weitgehend um Ermessensfragen handelt.</w:t>
      </w:r>
    </w:p>
    <w:p>
      <w:r>
        <w:rPr>
          <w:b/>
        </w:rPr>
        <w:t>E. 5.2</w:t>
      </w:r>
    </w:p>
    <w:p>
      <w:r>
        <w:t>Zum Trafohäuschen hat das Baurekursgericht festgehalten, dieses müsse von der E-Strasse einen Strassenabstand von 6 m einhalten, da die Parteien übereinstimmend davon ausgehen, dass über diese Strasse mehr als zehn Wohneinheiten erschlossen werden. Dieser Rechtsauffassung ist zuzustimmen. Wie das Verwaltungsgericht im wegleitenden Entscheid RB 1982 Nr. 149 (= BEZ 1982 Nr. 20) festgehalten hat, ist die Abgrenzung zwischen Strassen und Wegen nicht scharf und kann sich vor allem nicht nach der oft inkonsequenten Bezeichnung in Strassennamen, Grundregistern und dergleichen richten. Neben dem technischen Ausbau ist vor allem die Zweckbestimmung, insbesondere die Erschliessungsfunktion der Anlage, von Bedeutung. Unter diesem Gesichtswinkel dienen die Normalien über die Anforderungen an Zugänge vom 9. Dezember 1987 (Zugangsnormalien) als Richtlinie. Diese Rechtsprechung wurde auch in neuerer Zeit wiederholt bestätigt (VGr, 17. Januar 2007, VB.2006.00471, E. 4.1; 19. Oktober 2005, VB.2004.00252, E. 3.1; vgl. auch Christoph Fritzsche/Peter Bösch, Zürcher Planungs- und Baurecht, 4. A., Zürich 2006 , S. 12-30). An ihr ist – insbesondere aus Gründen der Rechtssicherheit – festzuhalten.</w:t>
      </w:r>
    </w:p>
    <w:p>
      <w:r>
        <w:rPr>
          <w:b/>
        </w:rPr>
        <w:t>E. 6</w:t>
      </w:r>
    </w:p>
    <w:p>
      <w:r>
        <w:t>Ausgangsgemäss sind die Gerichtskosten der Beschwerdeführerin aufzuerlegen (§ 65a Abs. 2 in Verbindung mit § 13 Abs. 2 Satz 1 VRG ). Eine Parteientschädigung steht ihr von vornherein nicht zu. Hingegen ist eine solche der Beschwerdegegnerin zuzusprechen, da die Vielzahl und die Komplexität der im Streit stehenden Rechtsfragen den Beizug eines Rechtsbeistands rechtfertigten (§ 17 Abs. 2 lit. a VRG). Angemessen ist eine Parteientschädigung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