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VB.2010.00682 vom 9. März 2011</w:t>
      </w:r>
    </w:p>
    <w:p>
      <w:r>
        <w:t>ZH Verwaltungsgericht, 2011-03-09, DE</w:t>
      </w:r>
    </w:p>
    <w:p>
      <w:r>
        <w:rPr>
          <w:b/>
        </w:rPr>
        <w:t xml:space="preserve">Quelle: </w:t>
      </w:r>
      <w:r>
        <w:t>https://mcp.opencaselaw.ch/entscheid/zh_verwaltungsgericht__VB.2010.00682</w:t>
      </w:r>
    </w:p>
    <w:p>
      <w:r>
        <w:t>FR: ZH_VERWALTUNGSGERICHT VB.2010.00682 du 9 mars 2011</w:t>
      </w:r>
    </w:p>
    <w:p>
      <w:r>
        <w:t>IT: ZH_VERWALTUNGSGERICHT VB.2010.00682 del 9 marzo 2011</w:t>
      </w:r>
    </w:p>
    <w:p>
      <w:pPr>
        <w:pStyle w:val="Heading2"/>
      </w:pPr>
      <w:r>
        <w:t>Regeste</w:t>
      </w:r>
    </w:p>
    <w:p>
      <w:r>
        <w:t>Aufenthaltsbewilligung | Nachfristansetzung bei fehlender Begründung des Rechtsmittels Mandatiert und instruiert eine Partei ihren Rechtsvertreter erst kurz vor Ablauf der Rekursfrist und reicht jener in der Folge statt eines Rekurses mit Begründung für eine solche lediglich ein Fristerstreckungsgesuch ein, weil er die Vorakten noch nicht erhalten habe, gilt es das Rechtsmittel nicht an die Hand zu nehmen. Die Vorinstanz bewilligte das Erstreckungsgesuch stillschweigend nicht, indem sie die Rekursantwort einholte. Ohnehin wäre dem Vertreter nach Empfang der Akten noch ein halber Tag geblieben, um den Rekurs wenigstens summarisch zu begründen (E. 2.3). Unter diesem Umständen wäre auch keine Fristwiederherstellung in Frage gekommen (E. 2.5). Gutheissung UP/URB, Abweisung</w:t>
      </w:r>
    </w:p>
    <w:p>
      <w:pPr>
        <w:pStyle w:val="Heading2"/>
      </w:pPr>
      <w:r>
        <w:t>Erwägungen</w:t>
      </w:r>
    </w:p>
    <w:p>
      <w:r>
        <w:rPr>
          <w:b/>
        </w:rPr>
        <w:t>E. 4</w:t>
      </w:r>
    </w:p>
    <w:p>
      <w:r>
        <w:t>Zur Rechtsmittelbelehrung im nachstehenden Urteilsdispositiv ist Folgendes zu erläutern: Soweit im Hintergrund ein Anwesenheitsanspruch der Beschwerdeführenden geltend gemacht werden will, lässt sich Beschwerde in öffentlichrechtlichen Angelegenheiten nach Art. 82 ff. des Bundesgerichtsgesetzes vom 17. Juni 2005 (BGG, SR 173.110) erheben (vgl. Art. 83 lit. c Ziff. 2 e contrario; Daniela Thurnherr in: Martina Caroni/Thomas Gächter/Daniela Thurnherr, Bundesgesetz über die Ausländerinnen und Ausländer [AuG], Bern 2010, Art. 112 N. 39 ff.; BGr, 18. Juni 2007, 2D_3/2007 bzw. 2C_126/2007, E. 2.2; ferner bezüglich der Rüge, der vorangegangene kantonale Sachentscheid habe Verfahrensgarantien missachtet, BGr, 12. Februar 2008, 2D_23/2008, E. 2.4.2 mit Zitat). Sonst steht lediglich die subsidiäre Verfassungsbeschwerde gemäss Art. 113 ff. BGG zur Verfügung (siehe zu ihrer hier besonders beschränkten Reichweite Thomas Häberli, Basler Kommentar, 2008, Art. 83 BGG N. 61; Peter Nideröst, Sans-Papiers in der Schweiz, in: Peter Uebersax et al. [Hrsg.], Ausländerrecht, 2. A., Basel 2009, S. 373 ff., 383; Thurnherr, Art. 112 N. 72–75); das trifft insbesondere im Zusammenhang mit dem Wegweisungspunkt zu (Art. 83 lit. c Ziff. 2 und 4 BGG; Thurnherr, Art. 112 N. 62).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