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VB.2010.00491 vom 25. November 2010</w:t>
      </w:r>
    </w:p>
    <w:p>
      <w:r>
        <w:t>ZH Verwaltungsgericht, 2010-11-25, DE</w:t>
      </w:r>
    </w:p>
    <w:p>
      <w:r>
        <w:rPr>
          <w:b/>
        </w:rPr>
        <w:t xml:space="preserve">Quelle: </w:t>
      </w:r>
      <w:r>
        <w:t>https://mcp.opencaselaw.ch/entscheid/zh_verwaltungsgericht__VB.2010.00491</w:t>
      </w:r>
    </w:p>
    <w:p>
      <w:r>
        <w:t>FR: ZH_VERWALTUNGSGERICHT VB.2010.00491 du 25 novembre 2010</w:t>
      </w:r>
    </w:p>
    <w:p>
      <w:r>
        <w:t>IT: ZH_VERWALTUNGSGERICHT VB.2010.00491 del 25 novembre 2010</w:t>
      </w:r>
    </w:p>
    <w:p>
      <w:pPr>
        <w:pStyle w:val="Heading2"/>
      </w:pPr>
      <w:r>
        <w:t>Regeste</w:t>
      </w:r>
    </w:p>
    <w:p>
      <w:r>
        <w:t>Urlaub | Gesuch um Gewährung eines 12-stündigen begleiteten Beziehungsurlaubs. Kammerzuständigkeit aufgrund von Fragen grundsätzlicher Bedeutung (E. 1.1). Die Vorinstanz kam zu Unrecht zum Schluss, dass die Legalprognose des Beschwerdeführers gegen die Bewilligung eines 12-stündigen begleiteten Urlaubs spreche: Eine Rückfallgefahr des Beschwerdeführers besteht unbestrittenerweise nur dann, wenn er sich während längerer Zeit unbeaufsichtigt in Freiheit befindet, was im Rahmen eines 12-stündigen begleiteten Urlaubs nicht der Fall ist (E. 4.2). Die Aussichten auf spätere, weitergehende Vollzugslockerungsschritte dürfen bei der Beurteilung eines konkreten Urlaubsgesuchs nicht massgebend sein; das Gesuch um Gewährung eines 12-stündigen begleiteten Beziehungsurlaubs darf demnach nicht mit der Begründung verweigert werden, dass aufgrund der Legalprognose noch nicht absehbar sei, wann unbegleitete Urlaube gewährt werden könnten (E. 4.4 - E.4.7.1). Ebenfalls nicht gegen eine Urlaubsgewährung spricht der Umstand, dass die Justizbehörden zur Zeit die Anordnung einer stationären Massnahme prüfen, die den Freiheitsentzug des Beschwerdeführers möglicherweise über das effektive Strafende hinaus verzögern könnte (E. 4.7.2). Entgegen der Auffassung der Vorinstanz kann schliesslich auch nicht gesagt werden, dass die für die Resozialisierung der Strafgefangenen erforderliche Kontaktpflege ebenso gut innerhalb der Strafanstalt möglich sei wie im Rahmen von begleiteten Beziehungsurlauben (E. 4.7.3). Der in Bezug auf begleitete Urlaube weder flucht- noch rückfallgefährdete Beschwerdeführer hat somit einen grundsätzlichen Anspruch auf Gewährung eines begleiteten Beziehungsurlaubs (E. 4.8). Die Behörden haben bisher allerdings noch nicht geprüft, ob das Urlaubsgesuch des Beschwerdeführers in Bezug auf die besuchten Personen, das Urlaubsprogramm und die Urlaubsdauer unter dem Gesichtspunkt des grundlegenden Resozialisierungsziels zweckmässig erscheint; die Sache ist zur Prüfung dieser Frage und zurneuen Entscheidung an die Erstinstanz zurückzuweisen (E. 4.9). Hälftige Kostenauferlegung; Gewährung UP/URB (E. 5). Qualifikation als Rückweisungsentscheid (E. 6). Teilweise Gutheissung / Rückweisung.</w:t>
      </w:r>
    </w:p>
    <w:p>
      <w:pPr>
        <w:pStyle w:val="Heading2"/>
      </w:pPr>
      <w:r>
        <w:t>Erwägungen</w:t>
      </w:r>
    </w:p>
    <w:p>
      <w:r>
        <w:rPr>
          <w:b/>
        </w:rPr>
        <w:t>E. 5.1</w:t>
      </w:r>
    </w:p>
    <w:p>
      <w:r>
        <w:t>Bei diesem Ausgang des Verfahrens sind die Kosten dem Beschwerdeführer und dem Beschwerdegegner je zur Hälfte aufzuerlegen (§ 65a Abs. 1 in Verbindung mit § 13 Abs. 2 VRG); entsprechend sind auch die Rekursverfahrenskosten neu zu verlegen. Eine Parteientschädigung ist nicht zuzusprechen (§ 17 Abs. 2 VRG).</w:t>
      </w:r>
    </w:p>
    <w:p>
      <w:r>
        <w:rPr>
          <w:b/>
        </w:rPr>
        <w:t>E. 5.2</w:t>
      </w:r>
    </w:p>
    <w:p>
      <w:r>
        <w:t>Das Gesuch des Beschwerdeführers um unentgeltliche Prozessführung ist gutzuheissen, da dieser mittellos ist und seine Begehren nicht als offensichtlich aussichtslos erscheinen (§ 16 Abs. 1 VRG). Die dem Beschwerdeführer auferlegten Verfahrenskosten sind einstweilen auf die Gerichtskasse zu nehmen. Der Beschwerdeführer wird indessen auf § 16 Abs. 4 VRG aufmerksam gemacht, wonach eine Partei, der die unentgeltliche Rechtspflege gewährt wurde, zur Nachzahlung verpflichtet ist, sobald sie dazu in der Lage ist. Der Anspruch des Kantons verjährt zehn Jahre nach Abschluss des Verfahrens.</w:t>
      </w:r>
    </w:p>
    <w:p>
      <w:r>
        <w:rPr>
          <w:b/>
        </w:rPr>
        <w:t>E. 5.3</w:t>
      </w:r>
    </w:p>
    <w:p>
      <w:r>
        <w:t>Mit der Vorinstanz ist davon auszugehen, dass der mittellose Beschwerdeführer nicht in der Lage ist, seine Rechte im Verfahren selbst zu wahren. Er hat demnach Anspruch auf die Bestellung eines unentgeltlichen Rechtsbeistands (§ 16 Abs. 2 VRG). Der Antrag auf Bestellung des RA B als unentgeltlicher Rechtsbeistand ist somit gutzuheissen. Der Beschwerdeführer wird auch in diesem Zusammenhang auf § 16 Abs. 4 VRG aufmerksam gemacht, wonach eine Partei, der die unentgeltliche Rechtspflege gewährt wurde, zur Nachzahlung verpflichtet ist, sobald sie dazu in der Lage ist.</w:t>
      </w:r>
    </w:p>
    <w:p>
      <w:r>
        <w:rPr>
          <w:b/>
        </w:rPr>
        <w:t>E. 6</w:t>
      </w:r>
    </w:p>
    <w:p>
      <w:r>
        <w:t>Beim vorliegenden Urteil handelt es sich um einen Rückweisungsentscheid. Ein solcher wird grundsätzlich als Zwischenentscheid qualifiziert, der sich nur unter den Voraussetzungen von Art. 93 Abs. 1 des Bundesgerichtsgesetzes vom 17. Juni 2005 (BGG) weiterziehen lässt (BGE 134 II 137 E. 1.3.2). Zwischenentscheide sind vor Bundesgericht nur dann anfechtbar, wenn sie einen nicht wieder gutzumachenden Nachteil bewirken können (lit. a) oder wenn die Gutheissung der Beschwerde sofort einen Endentscheid herbeiführen und damit einen bedeutenden Aufwand an Zeit oder Kosten für ein weitläufiges Beweisverfahren ersparen würde (lit. b). Als Endentscheid im Sinn von Art. 90 BGG lässt sich ein Rückweisungsentscheid dann einstufen, wenn der unteren Instanz kein Beurteilungsspielraum mehr verbleibt (BGE 134 II 124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