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VB.2010.00165 vom 14. Juli 2010</w:t>
      </w:r>
    </w:p>
    <w:p>
      <w:r>
        <w:t>ZH Verwaltungsgericht, 2010-07-14, DE</w:t>
      </w:r>
    </w:p>
    <w:p>
      <w:r>
        <w:rPr>
          <w:b/>
        </w:rPr>
        <w:t xml:space="preserve">Quelle: </w:t>
      </w:r>
      <w:r>
        <w:t>https://mcp.opencaselaw.ch/entscheid/zh_verwaltungsgericht__VB.2010.00165</w:t>
      </w:r>
    </w:p>
    <w:p>
      <w:r>
        <w:t>FR: ZH_VERWALTUNGSGERICHT VB.2010.00165 du 14 juillet 2010</w:t>
      </w:r>
    </w:p>
    <w:p>
      <w:r>
        <w:t>IT: ZH_VERWALTUNGSGERICHT VB.2010.00165 del 14 luglio 2010</w:t>
      </w:r>
    </w:p>
    <w:p>
      <w:pPr>
        <w:pStyle w:val="Heading2"/>
      </w:pPr>
      <w:r>
        <w:t>Regeste</w:t>
      </w:r>
    </w:p>
    <w:p>
      <w:r>
        <w:t>Kosten für ausserfamiliäre Platzierung | Anfechtbarkeit von Zwischenverfügungen / Koordinationspflicht [Die Beschwerdeführerin stellte sowohl der Bildungsdirektion als auch der Sicherheitsdirektion, aber gestützt auf unterschiedliche Rechtsgrundlagen, ein Gesuch um Kostenübernahme für eine ausserkantonale Fremdplatzierung. Gegen die Verfügung der Bildungsdirektion liess die Beschwerdeführerin Rekurs erheben. Der Regierungsrat sistierte vorerst das Verfahren bis zum Entscheid der Sicherheitsdirektion, hob in der Folge die Sistierung jedoch wieder auf. Die Sicherheitsdirektion sistierte ihrerseits das Verfahren bis zum Entscheid des Regierungsrats über die Sache.] Koordinationsbedarf ist immer dann gegeben, wenn verschiedene materiellrechtliche Vorschriften anzuwenden sind und zwischen diesen ein derart enger Sachzusammenhang besteht, dass sie nicht getrennt und unabhängig voneinander angewendet werden dürfen (E. 3.2). Angesichts der unterschiedlichen Auffassungen - insbesondere der Bildungsdirektion bzw. der Sicherheitsdirektion - über die rechtliche Qualifikation der Mindestversorgertaxe im innerkantonalen Bereich kann ein gewisser Koordinationsbedarf nicht verneint werden. Das Koordinationsziel wird jedoch dadurch erreicht, dass die Sicherheitsdirektion ihr Verfahren sistiert hat und der Regierungsrat im Rahmen des Rekursverfahrens auch über die Frage wird entscheiden müssen, ob die Mindestversorgertaxe in Kanton Zürich als Staatsbeitrag oder als wirtschaftliche Hilfe zu qualifizieren ist. Da sich zudem die untere Instanz in der Regel an der Rechtsprechung der höheren ausrichtet, kann die Gefahr von sich widersprechenden und sachlich unhaltbaren Entscheiden mit genügender Bestimmtheit ausgeschlossen werden. Insofern entstehen der Beschwerdeführerin auf Grund der Aufhebung der Sistierung keine erheblichen, nicht wieder gutzumachenden Nachteile (E. 3.7). Nichteintreten</w:t>
      </w:r>
    </w:p>
    <w:p>
      <w:pPr>
        <w:pStyle w:val="Heading2"/>
      </w:pPr>
      <w:r>
        <w:t>Erwägungen</w:t>
      </w:r>
    </w:p>
    <w:p>
      <w:r>
        <w:rPr>
          <w:b/>
        </w:rPr>
        <w:t>E. 4</w:t>
      </w:r>
    </w:p>
    <w:p>
      <w:r>
        <w:t>Die Gutheissung der Beschwerde würde auch nicht unmittelbar einen Endentscheid herbeiführen. Die Voraussetzungen der Anfechtbarkeit eines Zwischenentscheids sind entsprechend nicht erfüllt. Demnach ist auf die Beschwerde nicht einzutreten.</w:t>
      </w:r>
    </w:p>
    <w:p>
      <w:r>
        <w:rPr>
          <w:b/>
        </w:rPr>
        <w:t>E. 5.1</w:t>
      </w:r>
    </w:p>
    <w:p>
      <w:r>
        <w:t>Da auf die Beschwerde nicht einzutreten ist, sind die Kosten der Beschwerdeführerin als unterliegender Partei aufzuerlegen (vgl. § 13 Abs. 2 in Verbindung mit § 65a Abs. 1 VRG). In diesem Zusammenhang ist auf den Streitwert der Hauptsache zurückzugreifen (vgl. VGr, 21. Oktober 2009, PB.2009.00020, E. 4.1.1, www.vgrzh.ch). Dieser beträgt rund Fr. 56'000.-. Der formellen Erledigung der Beschwerde ist durch eine angemessene Reduktion der Gerichtsgebühr Rechnung zu tragen (vgl. § 6 der Gebührenverordnung des Verwaltungsgerichts vom 26. Juni 1997 [LS 175.252]).</w:t>
      </w:r>
    </w:p>
    <w:p>
      <w:r>
        <w:rPr>
          <w:b/>
        </w:rPr>
        <w:t>E. 5.2</w:t>
      </w:r>
    </w:p>
    <w:p>
      <w:r>
        <w:t>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VRG).</w:t>
      </w:r>
    </w:p>
    <w:p>
      <w:r>
        <w:rPr>
          <w:b/>
        </w:rPr>
        <w:t>E. 5.2.1</w:t>
      </w:r>
    </w:p>
    <w:p>
      <w:r>
        <w:t>Als unterliegende Partei hat die Beschwerdeführerin von vornherein keinen Entschädigungsanspruch.</w:t>
      </w:r>
    </w:p>
    <w:p>
      <w:r>
        <w:rPr>
          <w:b/>
        </w:rPr>
        <w:t>E. 5.2.2</w:t>
      </w:r>
    </w:p>
    <w:p>
      <w:r>
        <w:t>Einem obsiegenden Gemeinwesen wird mit Zurückhaltung eine Entschädigung zugesprochen. Indes kann selbst ein grösseres, leistungsfähigeres und insofern in der Regel nicht anspruchsberechtigtes Gemeinwesen eine Parteientschädigung erhalten für einen Aufwand, welcher den ordentlichen übersteigt, oder wenn es durch das prozessuale Verhalten und die Vorbringen der Gegenpartei über Gebühr belastet wird (Kölz/Boss­hart/Röhl, § 17 N. 19 f.; VGr, 5. Februar 2004, VB.2003.00331, E. 7.2 – 15. Juni 2006, VK.2006.00003, E. 2 – 20. Dezember 2006, VB.2006.00050, E. 5 Abs. 2 [alles unter www.vgrzh.ch]). Vorliegend war einzig über die isolierte Frage nach der Aufhebung der Sistierung bzw. der Wiederaufnahme des Rekursverfahrens zu entscheiden. Der Mitbeteiligten – die als einzige ein Begehren um Zusprechen einer Parteientschädigung gestellt hat – ist deshalb trotz Obsiegens keine solche zuzusprechen.</w:t>
      </w:r>
    </w:p>
    <w:p>
      <w:r>
        <w:rPr>
          <w:b/>
        </w:rPr>
        <w:t>E. 6</w:t>
      </w:r>
    </w:p>
    <w:p>
      <w:r>
        <w:t>Der vorliegende Nichteintretensentscheid ist ein Zwischenentscheid im Sinn von Art. 93 BGG. Gegen derartige Entscheide ist die Beschwerde in öffentlich-rechtlichen Angelegenheiten nur zulässig, wenn sie einen nicht wieder gutzu­machenden Nachteil bewirken können oder wenn die Gutheissung der Beschwerde sofort einen Endentscheid herbeiführen und damit einen bedeutenden Aufwand an Zeit oder Kosten für ein weitläufiges Beweisverfahren ersparen würde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