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VB.2009.00699 vom 10. März 2010</w:t>
      </w:r>
    </w:p>
    <w:p>
      <w:r>
        <w:t>ZH Verwaltungsgericht, 2010-03-10, DE</w:t>
      </w:r>
    </w:p>
    <w:p>
      <w:r>
        <w:rPr>
          <w:b/>
        </w:rPr>
        <w:t xml:space="preserve">Quelle: </w:t>
      </w:r>
      <w:r>
        <w:t>https://mcp.opencaselaw.ch/entscheid/zh_verwaltungsgericht__VB.2009.00699</w:t>
      </w:r>
    </w:p>
    <w:p>
      <w:r>
        <w:t>FR: ZH_VERWALTUNGSGERICHT VB.2009.00699 du 10 mars 2010</w:t>
      </w:r>
    </w:p>
    <w:p>
      <w:r>
        <w:t>IT: ZH_VERWALTUNGSGERICHT VB.2009.00699 del 10 marzo 2010</w:t>
      </w:r>
    </w:p>
    <w:p>
      <w:pPr>
        <w:pStyle w:val="Heading2"/>
      </w:pPr>
      <w:r>
        <w:t>Regeste</w:t>
      </w:r>
    </w:p>
    <w:p>
      <w:r>
        <w:t>Löschung im Handelsregister | Löschung im Handelsregister / Nichtigkeit Bevor einer Aktiengesellschaft von Amtes wegen gelöscht wird, hat das Handelsregisteramt den Verwaltungsrat mit eingeschriebenem Brief zur Stellungnahme aufzufordern. Die Aufforderung dient der Gewährung des rechtlichen Gehörs. Voraussetzung der Wahrnehmung des rechtlichen Gehörs ist eine entsprechende Orientierung der Betroffenen (E.2.2). Angesichts des grundrechtlichen Anspruchs auf Orientierung sowie aufgrund der vergleichbaren Interessenlage drängt sich eine sinngemässe Anwendung der Bestimmungen von Art. 152 Abs. 3 und Art. 153 Abs. 2 HRegV auf Art. 155 HRegV auf. Demnach hat das Handelsregisteramt die Aufforderung zur Mitteilung auch im Anwendungsbereich von Art. 155 HRegV im SHAB zu publizieren, sofern es keine zur Anmeldung verpflichtete Person erreichen kann (E.2.4). Unterbleibt eine Publikation, ist die Löschung nichtig (E.3). Gutheissung der Beschwerde</w:t>
      </w:r>
    </w:p>
    <w:p>
      <w:pPr>
        <w:pStyle w:val="Heading2"/>
      </w:pPr>
      <w:r>
        <w:t>Erwägungen</w:t>
      </w:r>
    </w:p>
    <w:p>
      <w:r>
        <w:rPr>
          <w:b/>
        </w:rPr>
        <w:t>E. 4</w:t>
      </w:r>
    </w:p>
    <w:p>
      <w:r>
        <w:t>Ausgangsgemäss sind die Kosten des Rekurs- und des verwaltungsgerichtlichen Verfahrens dem Beschwerdegegner aufzuerlegen ([§ 70 in Verbindung mit] § 13 Abs. 2 Satz 1 VRG). Wie schon im Rekursverfahren beantragen die Beschwerdeführerinnen eine Parteientschädigung. Sowohl im Rekurs- wie auch im Beschwerdeverfahren kann die unterliegende Partei oder Amtsstelle zu einer angemessenen Entschädigung für die Umtriebe der Gegenseite verpflichtet werden, sofern – wie vorliegend – die rechtsgenügende Darlegung komplizierter Sachverhalte und schwieriger Rechtsfragen besonderen Aufwand erforderte oder den Beizug eines Rechtsbeistands rechtfertigte (§ 17 Abs. 2 lit. a VRG). Den Beschwerdeführerinnen ist deshalb für Rekurs- und Beschwerdeverfahren eine Parteientschädigung in angemessener Höhe zu entrichten. Diese beträgt 2'000 Franken.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