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VB.2009.00648 vom 20. November 2009</w:t>
      </w:r>
    </w:p>
    <w:p>
      <w:r>
        <w:t>ZH Verwaltungsgericht, 2009-11-20, DE</w:t>
      </w:r>
    </w:p>
    <w:p>
      <w:r>
        <w:rPr>
          <w:b/>
        </w:rPr>
        <w:t xml:space="preserve">Quelle: </w:t>
      </w:r>
      <w:r>
        <w:t>https://mcp.opencaselaw.ch/entscheid/zh_verwaltungsgericht__VB.2009.00648</w:t>
      </w:r>
    </w:p>
    <w:p>
      <w:r>
        <w:t>FR: ZH_VERWALTUNGSGERICHT VB.2009.00648 du 20 novembre 2009</w:t>
      </w:r>
    </w:p>
    <w:p>
      <w:r>
        <w:t>IT: ZH_VERWALTUNGSGERICHT VB.2009.00648 del 20 novembre 2009</w:t>
      </w:r>
    </w:p>
    <w:p>
      <w:pPr>
        <w:pStyle w:val="Heading2"/>
      </w:pPr>
      <w:r>
        <w:t>Regeste</w:t>
      </w:r>
    </w:p>
    <w:p>
      <w:r>
        <w:t>Ausschaffungshaft | Ausschaffungshaft: "objektivierte" Untertauchensgefahr; Überprüfung der Wegweisung durch den Haftrichter. Das Bundesamt für Migration trat auf das Asylgesuch des Beschwerdeführers gestützt auf Art. 33 Abs. 1 AsylG nicht ein, weshalb der Haftgrund von Art. 76 Abs. 1 lit. b Ziff. 2 AuG vorliegt. Ist im Asylverfahren aufgrund missbräuchlichen Verhaltens ein Nichteintretensentscheid ergangen, wird angenommen, der Betreffende werde sich auch der Ausschaffung widersetzen (sog. "objektivierte" Untertauchensgefahr). Dem Haftgrund kommt selbständige Bedeutung zu, sodass es auf das Verhalten des Betroffenen nach dem Nichteintretensentscheid grundsätzlich nicht mehr ankommt (E. 1.3). Der Einwand des Beschwerdeführers, er könne nach seinem langjährigen Aufenthalt in der Schweiz nicht mehr in sein Heimatland bzw. seine Herkunftsregion zurückkehren, weil sich dort verschiedene Rebellengruppen aufhielten, bildet nicht Gegenstand des Haftprüfungsverfahrens; die Frage wurde im Asylverfahren rechtskräftig beurteilt und kann im vorliegenden Beschwerdeverfahren nicht mehr überprüft werden (E. 2). Abweisung.</w:t>
      </w:r>
    </w:p>
    <w:p>
      <w:pPr>
        <w:pStyle w:val="Heading2"/>
      </w:pPr>
      <w:r>
        <w:t>Erwägungen</w:t>
      </w:r>
    </w:p>
    <w:p>
      <w:r>
        <w:rPr>
          <w:b/>
        </w:rPr>
        <w:t>E. 1</w:t>
      </w:r>
    </w:p>
    <w:p>
      <w:r>
        <w:t>Abteilung VB.2009.00648 Zirkulationsentscheid der 1. Kammer vom</w:t>
      </w:r>
    </w:p>
    <w:p>
      <w:r>
        <w:rPr>
          <w:b/>
        </w:rPr>
        <w:t>E. 1.1</w:t>
      </w:r>
    </w:p>
    <w:p>
      <w:r>
        <w:t>Da sich die Beschwerde als offensichtlich unbegründet erweist, entscheidet das Gericht gemäss § 38 Abs. 1 VRG auf dem Zirkulationsweg und mit summarischer Begründung.</w:t>
      </w:r>
    </w:p>
    <w:p>
      <w:r>
        <w:rPr>
          <w:b/>
        </w:rPr>
        <w:t>E. 1.2</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Papierbeschaffung mit dem nötigen Nachdruck verfolgt wird (Art. 76 Abs. 4 AuG). Gemäss Art. 76 Abs. 3 AuG darf die Ausschaffungshaft höchstens drei Monate dauern.</w:t>
      </w:r>
    </w:p>
    <w:p>
      <w:r>
        <w:rPr>
          <w:b/>
        </w:rPr>
        <w:t>E. 1.3</w:t>
      </w:r>
    </w:p>
    <w:p>
      <w:r>
        <w:t>Das Bundesamt für Migration trat mit Entscheid vom 3. November 2009 gestützt auf Art. 33 Abs. 1 AsylG nicht auf das Asylgesuch des Beschwerdeführers ein. Eine Beschwerde gegen diesen Entscheid wurde vom Bundesverwaltungsgericht am 23. November 2009 abgewiesen. Somit liegt der Haftgrund von Art. 76 Abs. 1 lit. b Ziff. 2 AuG vor, wonach die betroffene Person in Haft genommen werden kann, wenn das Bundesamt für Migration einen Nichteintretensentscheid gestützt auf Art. 32 Abs. 2 lit. a–c oder Art. 33 AsylG getroffen hat. Hierbei handelt es sich um eine sogenannte "objektivierte" Untertauchensgefahr, welche angenommen wird, wenn im Asylverfahren aufgrund missbräuchlichen Verhaltens ein Nichteintretensentscheid ergangen ist (BBl 2003, S. 5753 f.). Daraus lässt sich nach der Rechtsprechung der Schluss ziehen, der Betreffende werde sich auch der Ausschaffung widersetzen (BGE 130 II 377 E. 3.2.2). Dem Haftgrund kommt selbständige Bedeutung zu, sodass es auf das Verhalten des Betroffenen nach dem Nichteintretensentscheid grundsätzlich nicht mehr ankommt (BGE 130 II 488 E. 3.2 ff.). Es liegen zudem keine Anhaltspunkte vor, dass sich die schweizerischen Behörden nicht mit dem nötigen Nachdruck um die Ausschaffung bemühen oder diese nicht absehbar ist. Die Identität des Beschwerdeführers steht fest, und das während des Asylverfahrens sistierte Papierbeschaffungsverfahren wurde bereits am 3. November 2009 wieder aufgenommen. Anhaltspunkte für die Undurchführbarkeit des Vollzugs der Wegweisung liegen nicht vor. Soweit der Beschwerdeführer geltend machen will, die Haft erweise sich wegen der bevorstehenden Heirat als unverhältnismässig, ist festzuhalten, dass die diesbezüglich vom Bundesgericht verlangten Voraussetzungen offensichtlich nicht erfüllt sind (vgl. BGr, 4. Februar 2005, 2A.38/2005, E. 2.3, www.bger.ch). Die Ausschaffungshaft erweist sich somit als rechtmässig.</w:t>
      </w:r>
    </w:p>
    <w:p>
      <w:r>
        <w:rPr>
          <w:b/>
        </w:rPr>
        <w:t>E. 2</w:t>
      </w:r>
    </w:p>
    <w:p>
      <w:r>
        <w:t>Der Einwand des Beschwerdeführers, er könne nach seinem langjährigen Aufenthalt in der Schweiz nicht mehr in sein Heimatland bzw. seine Herkunftsregion zurückkehren, weil sich dort verschiedene Rebellengruppen aufhielten, bildet nicht Gegenstand des Haftprüfungsverfahrens; die Frage wurde im Asylverfahren rechtskräftig beurteilt und kann im vorliegenden Beschwerdeverfahren nicht mehr überprüft werden (BGE 128 II 193 E. 2.2). Dies gilt auch bezüglich der Vorbringen des Beschwerdeführers, er sei in der Schweiz integriert, nicht kriminell und wolle sich eine Arbeit suchen, damit er sich um seine Kinder kümmern könne, die auf ihren Vater angewiesen seien.</w:t>
      </w:r>
    </w:p>
    <w:p>
      <w:r>
        <w:rPr>
          <w:b/>
        </w:rPr>
        <w:t>E. 3</w:t>
      </w:r>
    </w:p>
    <w:p>
      <w:r>
        <w:t>Somit erweist sich die Beschwerde als offensichtlich unbegründet und ist abzuweisen. Bei diesem Ausgang des Verfahrens hätte grundsätzlich der Beschwerdeführer die Kosten zu tragen (§ 13 Abs. 2 Satz 1 in Verbindung mit § 70 VRG). Da die Gerichtsgebühr jedoch aufgrund seiner Bedürftigkeit und des absehbaren Wegweisungsvollzugs offensichtlich uneinbringlich wäre, ist sie auf die Gerichtskasse zu nehmen.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