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VB.2009.00543 vom 16. Dezember 2009</w:t>
      </w:r>
    </w:p>
    <w:p>
      <w:r>
        <w:t>ZH Verwaltungsgericht, 2009-12-16, DE</w:t>
      </w:r>
    </w:p>
    <w:p>
      <w:r>
        <w:rPr>
          <w:b/>
        </w:rPr>
        <w:t xml:space="preserve">Quelle: </w:t>
      </w:r>
      <w:r>
        <w:t>https://mcp.opencaselaw.ch/entscheid/zh_verwaltungsgericht__VB.2009.00543</w:t>
      </w:r>
    </w:p>
    <w:p>
      <w:r>
        <w:t>FR: ZH_VERWALTUNGSGERICHT VB.2009.00543 du 16 décembre 2009</w:t>
      </w:r>
    </w:p>
    <w:p>
      <w:r>
        <w:t>IT: ZH_VERWALTUNGSGERICHT VB.2009.00543 del 16 dicembre 2009</w:t>
      </w:r>
    </w:p>
    <w:p>
      <w:pPr>
        <w:pStyle w:val="Heading2"/>
      </w:pPr>
      <w:r>
        <w:t>Regeste</w:t>
      </w:r>
    </w:p>
    <w:p>
      <w:r>
        <w:t>Führerausweisentzug | Warnungsentzug. Erhebliche Geschwindigkeitsüberschreitung. Mindestentzugsdauer. Die Vorinstanzen haben die konkreten Umstände des Einzelfalls insofern berücksichtigt, als sie den Führerausweisentzug für die gesetzliche Mindestentzugsdauer von drei Monaten verfügten. Diese darf gemäss bundesgerichtlicher Rechtsprechung nicht unterschritten werden, weshalb die in der Tat aussergewöhnliche, während vielen Jahren ungetrübte Fahrpraxis der Beschwerdeführerin nicht noch weiter berücksichtigt werden kann (E. 4.5). Abweisung.</w:t>
      </w:r>
    </w:p>
    <w:p>
      <w:pPr>
        <w:pStyle w:val="Heading2"/>
      </w:pPr>
      <w:r>
        <w:t>Erwägungen</w:t>
      </w:r>
    </w:p>
    <w:p>
      <w:r>
        <w:rPr>
          <w:b/>
        </w:rPr>
        <w:t>E. 4.1</w:t>
      </w:r>
    </w:p>
    <w:p>
      <w:r>
        <w:t>Gemäss Art. 16 Abs. 2 SVG wird bei Widerhandlungen gegen die Strassenverkehrsvorschriften, bei denen das Verfahren nach dem Ordnungsbussengesetz vom 24. Juni 1970 ausgeschlossen ist, der Lernfahr- oder Führerausweis entzogen oder eine Verwarnung ausgesprochen.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4.2</w:t>
      </w:r>
    </w:p>
    <w:p>
      <w:r>
        <w:t>Das Gesetz unterscheidet zwischen leichter, mittelschwerer und schwerer Widerhandlung. Eine schwere Widerhandlung begeht, wer durch grobe Verletzung von Verkehrsregeln eine ernstliche Gefahr für die Sicherheit anderer hervorruft oder in Kauf nimmt (Art. 16c Abs. 1 lit. a SVG). Nach einer schweren Widerhandlung wird der Lernfahr- oder Führerausweis für mindestens drei Monate entzogen (Art. 16c Abs. 2 lit. a SVG). Die schwere Widerhandlung entspricht gemäss konstanter Rechtsprechung der groben Verkehrsregelverletzung im Sinne von Art. 90 Ziffer 2 SVG (BGE 132 II 234 E. 3.2; BGr, 28. März 2007, 6A.86/2006, mit weiteren Hinweisen, www.bger.ch). Nach Art. 32 Abs. 1 SVG ist die Geschwindigkeit stets den Umständen anzupassen, namentlich den Besonderheiten von Fahrzeug und Ladung sowie den Strassen-, Verkehrs- und Sichtverhältnissen. Art. 27 Abs. 1 SVG verpflichtet den Fahrzeuglenker zur Be­achtung von Signalen und Markierungen. Laut Art. 32 Abs. 2 SVG hat der Bundesrat die Geschwindigkeit auf allen Strassen durch Höchstgeschwindigkeitsvorschriften zu begrenzen. Gemäss Art. 4a Abs. 1 lit. d der Verkehrsregelnverordnung vom 13. November 1962 (VRV) beträgt die allgemeine Höchstgeschwindigkeit auf Autobahnen – vorbehältlich abweichender Signalisationen – 120 km/h. Die allgemeine Höchstgeschwindigkeit gemäss Art. 4a Abs. 1 VRV ist nicht die Geschwindigkeit, die unter allen Umständen ausgefahren werden kann; es ist die Geschwindigkeit, mit der unter günstigen Strassen-, Verkehrs- und Sichtverhältnissen gefahren werden darf (BGE 121 II 127 E. 4a). Eine ernstliche Gefahr für die Sicherheit anderer im Sinne von Art. 90 Ziff. 2 SVG bzw. Art. 16c Abs. 1 lit. a SVG ist bereits beim Vorliegen einer erhöhten abstrakten Gefährdung gegeben. Die erhöhte abstrakte Gefahr setzt die naheliegende Möglichkeit einer konkreten Gefährdung oder Verletzung voraus (BGE 131 IV 133 E. 3.2). Nach der Rechtsprechung des Bundesgerichts sind ungeachtet der konkreten Umstände objektiv eine grobe Verkehrsregelverletzung im Sinne von Art. 90 Ziff. 2 SVG beziehungsweise eine schwere Verkehrsgefährdung im Sinne von Art. 16c Abs. 1 lit. a SVG zu bejahen, wenn die Höchstgeschwindigkeit auf der Autobahn um 35 km/h, auf einer nicht richtungsgetrennten Autostrasse um 30 km/h und innerorts um 25 km/h überschritten worden ist (BGE 132 II 234 E. 3). Das Bundesgericht hat diese Limiten mehrfach bestätigt (mit ausführlicher Begründung im Urteil 1C_83/2008 vom 16. Oktober 2008). Insbesondere hat es darauf hingewiesen, dass angesichts der Häufigkeit von Geschwindigkeitsüberschreitungen ein gewisser Schematismus unabdingbar sei. Der Gesetzgeber habe anlässlich der Revision des Strassenverkehrsgesetzes vom 14. Dezember 2001 (in Kraft seit 1. Januar 2005) darauf verzichtet, diese Rechtsprechung gesetzlich zu verankern. Indessen habe er sie nicht infrage gestellt, sondern vielmehr im Gesetzgebungsverfahren mehrfach darauf Bezug genommen (BGr, 25. November 2008, 1C_328/2008, E. 2; 16. Oktober 2008, 1C_83/2008, E. 2, beide unter www.bger.ch).</w:t>
      </w:r>
    </w:p>
    <w:p>
      <w:r>
        <w:rPr>
          <w:b/>
        </w:rPr>
        <w:t>E. 4.3</w:t>
      </w:r>
    </w:p>
    <w:p>
      <w:r>
        <w:t>Die Beschwerdeführerin bestreitet nicht, dass sie die allgemeine Höchstgeschwindigkeit auf Autobahnen um mehr als 35 km/h und damit die aufgrund der bundesgerichtlichen Rechtsprechung gesetzten Limiten überschritten hat. Sie macht geltend, dass darin eine schematische Beurteilung liege und das Straf- bzw. Massnahmenrecht so zum Erfolgsstraf- bzw. Erfolgsmassnahmenrecht werde. Ausserdem sei niemand konkret gefährdet oder gar verletzt worden. Die Beschwerdeführerin verkennt, dass das Bundesgericht bei Geschwindigkeitsüberschreitungen einen gewissen Schematismus als unabdingbar beurteilt hat. Zudem bringt die Überschreitung der Höchstgeschwindigkeit auf Autobahnen um 35 km/h nach der bundesgerichtlichen Rechtsprechung eine erhöhte abstrakte Gefährdung ohne Weiteres mit sich, d.h. unabhängig von weiteren, die Gefährlichkeit dieses Verhaltens erhöhenden Umständen. Der Einwand der Beschwerdeführerin, es sei niemand konkret gefährdet oder gar verletzt worden, geht daher fehl.</w:t>
      </w:r>
    </w:p>
    <w:p>
      <w:r>
        <w:rPr>
          <w:b/>
        </w:rPr>
        <w:t>E. 4.4</w:t>
      </w:r>
    </w:p>
    <w:p>
      <w:r>
        <w:t>Die in E. 4.2 dargelegte Rechtsprechung dispensiert die rechtsanwendenden Behörden nicht von jeglicher Berücksichtigung der konkreten Umstände des Einzelfalls. So sind bei der Festsetzung der Dauer des Ausweisentzugs namentlich die Gefährdung der Verkehrssicherheit, das Verschulden, der Leumund als Motorfahrzeugführer sowie die berufliche Notwendigkeit, ein Motorfahrzeug zu führen, zu berücksichtigen (Art. 16 Abs. 3 SVG). Denkbar ist weiter, dass es am subjektiven Tatbestand der groben Verkehrsregelverletzung mangelt, so etwa wenn der Lenker sich aus nachvollziehbaren Gründen nicht mehr im Bereich einer bestimmten Geschwindigkeitsbeschränkung wähnte (BGE 126 II 196 E. 2a S. 199 mit Hinweis; BGr, 25. November 2008, 1C_328/2008, E. 2.5, www.bger.ch). Die von der Beschwerdeführerin geltend gemachte Irritation durch einen aufschliessenden und drängelnden Fahrzeuglenker ist – sofern diese Schilderung zutreffen sollte – schon deshalb nicht von Belang, weil sie auch im Strafverfahren keine Beachtung fand. Dasselbe gilt für ihre Darstellung, wonach "ein oder mehrere Lastwagen" die Sicht auf die Geschwindigkeitsbegrenzung eingegrenzt bzw. verdeckt hätten. Wie sich ferner aus dem bei den Akten liegenden Foto ergibt, waren beide Fahrbahnen hinter dem Fahrzeug der Beschwerdeführerin, welche zudem zu einem Spurwechsel auf die Überholspur ansetzte, frei. Das spricht gegen die Darstellung der Beschwerdeführerin, welche kurz vor der Signaltafel durch ein nachfolgendes Fahrzeug bedrängt und darauf in der Sicht auf die Geschwindigkeitsbegrenzung durch "ein oder mehrere Lastwagen" behindert worden sein soll. Gerichtsnotorisch sind die Geschwindigkeitsreduktionen (zuerst auf 100 km/h, kurz darauf auf 80 km/h) beidseits der Autobahn signalisiert. Dem Hinweis auf Sichtverdeckung ist auch damit der Boden entzogen. Die Darstellung der Beschwerdeführerin und zugleich ihre Kritik am der Beschwerdegegnerin obliegenden Beweis finden somit keine Stütze in den Akten. Bei dieser Sachlage ist erst recht irrelevant, dass sie auf dem geraden Teilstück der Autobahn angeblich keine objektive Veranlassung hatte, die Geschwindigkeit zu reduzieren, ganz abgesehen davon, dass die Messstelle unmittelbar vor dem Beginn der ersten Kurve des "S" liegt.</w:t>
      </w:r>
    </w:p>
    <w:p>
      <w:r>
        <w:rPr>
          <w:b/>
        </w:rPr>
        <w:t>E. 4.5</w:t>
      </w:r>
    </w:p>
    <w:p>
      <w:r>
        <w:t>Insgesamt ergibt sich somit, dass der Tatbestand der groben Verkehrsregelverletzung objektiv wie subjektiv erfüllt ist. Die Vorinstanzen haben die konkreten Umstände des Einzelfalls insofern berücksichtigt, als sie den Führerausweisentzug für die gesetzliche Mindestentzugsdauer von drei Monaten (Art. 16c Abs. 2 lit. a SVG) verfügten. Diese darf gemäss bundesgerichtlicher Rechtsprechung nicht unterschritten werden, weshalb die in der Tat aussergewöhnliche, während vieler Jahre ungetrübte Fahrpraxis der Beschwerdeführerin nicht noch weiter berücksichtigt werden kann. Die Beschwerdeführerin versucht darzulegen, dass sie gleich behandelt werde wie ein Raser, der mit 163 km/h statt der auf Autobahnen erlaubten Höchstgeschwindigkeit fährt. Der Beschwerdegegnerin ist es indessen unbenommen, die Entzugsdauer bei weniger günstigen Voraussetzungen pflichtgemäss höher anzusetzen.</w:t>
      </w:r>
    </w:p>
    <w:p>
      <w:r>
        <w:rPr>
          <w:b/>
        </w:rPr>
        <w:t>E. 5</w:t>
      </w:r>
    </w:p>
    <w:p>
      <w:r>
        <w:t>Nach dem Gesagten ist die Beschwerde abzuweisen. Die Kosten sind dem Verfahrensausgang entsprechend der Beschwerdeführerin aufzuerlegen (§ 13 Abs. 2 in Verbindung mit § 70 VRG). Bei diesem Ausgang des Verfahrens ist keine Umtriebsentschädigung zu entrichten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