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VB.2009.00445 vom 30. Oktober 2009</w:t>
      </w:r>
    </w:p>
    <w:p>
      <w:r>
        <w:t>ZH Verwaltungsgericht, 2009-10-30, DE</w:t>
      </w:r>
    </w:p>
    <w:p>
      <w:r>
        <w:rPr>
          <w:b/>
        </w:rPr>
        <w:t xml:space="preserve">Quelle: </w:t>
      </w:r>
      <w:r>
        <w:t>https://mcp.opencaselaw.ch/entscheid/zh_verwaltungsgericht__VB.2009.00445</w:t>
      </w:r>
    </w:p>
    <w:p>
      <w:r>
        <w:t>FR: ZH_VERWALTUNGSGERICHT VB.2009.00445 du 30 octobre 2009</w:t>
      </w:r>
    </w:p>
    <w:p>
      <w:r>
        <w:t>IT: ZH_VERWALTUNGSGERICHT VB.2009.00445 del 30 ottobre 2009</w:t>
      </w:r>
    </w:p>
    <w:p>
      <w:pPr>
        <w:pStyle w:val="Heading2"/>
      </w:pPr>
      <w:r>
        <w:t>Regeste</w:t>
      </w:r>
    </w:p>
    <w:p>
      <w:r>
        <w:t>Sozialhilfe | Sozialhilfe: Zustellung eines Entscheids bei Zurückbehaltungsauftrag (Der Beschwerdeführer hatte bei der Post einen Zurückbehaltungsauftrag eingerichtet und holte den Entscheid der Einzelfallkommission nicht innert der siebentägigen Abholfrist, sondern knapp zwei Wochen nach deren Ablauf auf der Post ab. Die Einspracheinstanz stellte für den Beginn der Einsprachefrist auf den Ablauf der siebentägigen Abholfrist des ersten Zustellungsversuchs ab und trat auf die Einsprache nicht ein. Der Bezirksrat bestätigte dies.) Rechtsgrundlagen der Zustellung von Entscheiden (E. 2.1). Die Errichtung eines Zurückbehaltungsauftrags an sich stellt nicht ohne Weiteres eine schuldhafte Vereitelung der Zustellung dar, welche es der Verwaltungsbehörde erlaubte, generell auf einen zweiten Zustellungsversuch zu verzichten und von der Zustellungsfiktion des ersten Zustellungsversuchs auszugehen. Die bundesgerichtliche Rechtsprechung, wonach eine eingeschriebene Postsendung auch bei bestehendem Zurückbehaltungsauftrag spätestens am siebten Tag nach dem ersten erfolglosen Zustellungsversuch als zugestellt gilt, lässt sich nicht auf die Zustellregeln nach kantonalem Recht übertragen. Dies muss zumindest dann gelten, wenn - wie vorliegend - die effektive Zustellung ungefähr in denselben Zeitraum fällt, wie er sich bis zum Ablauf der siebentägigen Abholfrist nach einem zweiten erfolglosen Zustellungsversuch ohne Vorliegen eines Zurückbehaltungsauftrags ergeben hätte. Die Einzelfallkommission durfte auf eine zweite Zustellung verzichten, da die erste Sendung doch noch zugestellt werden konnte, doch ist die Einsprachefrist nach der effektiven Zustellung zu berechnen (E. 2.2). Kein reformatorischer Entscheid des Verwaltungsgerichts (E. 2.3). Mangels grossen Aufwands keine Parteientschädigung für den nicht anwaltlich vertretenen Beschwerdeführer (E. 3). Anfechtbarkeit des Rückweisungsentscheids als Zwischenentscheid (E. 4). Teilweise Gutheissung soweit Eintreten; Rückweisung an Vorinstanz zurNeubeurteilung</w:t>
      </w:r>
    </w:p>
    <w:p>
      <w:pPr>
        <w:pStyle w:val="Heading2"/>
      </w:pPr>
      <w:r>
        <w:t>Erwägungen</w:t>
      </w:r>
    </w:p>
    <w:p>
      <w:r>
        <w:rPr>
          <w:b/>
        </w:rPr>
        <w:t>E. 3</w:t>
      </w:r>
    </w:p>
    <w:p>
      <w:r>
        <w:t>Angesichts des weitgehenden Obsiegens des Beschwerdeführers mit seinen Anträgen sind die Gerichtskosten der Beschwerdegegnerin aufzuerlegen (§ 13 Abs. 2 in Verbindung mit § 70 VRG). Das Gesuch des Beschwerdeführers um Gewährung der unentgeltlichen Prozessführung wird bei diesem Ausgang gegenstandslos. Die nicht anwaltlich vertretene Partei ist nach verwaltungsgerichtlicher Rechtsprechung nur für einen das übliche Ausmass erheblich übersteigenden Rechtsverfolgungsaufwand entschädigungsberechtigt (RB 1989 Nr. 2; vgl. auch Kölz/Bosshart/Röhl, § 17 N. 17). Die vorliegende Beschwerdeschrift erforderte keinen grossen Aufwand, weshalb dem Beschwerdeführer keine Parteientschädigung zuzusprechen ist.</w:t>
      </w:r>
    </w:p>
    <w:p>
      <w:r>
        <w:rPr>
          <w:b/>
        </w:rPr>
        <w:t>E. 4</w:t>
      </w:r>
    </w:p>
    <w:p>
      <w:r>
        <w:t>Bei der vorliegenden Rückweisung handelt es sich um einen Vor- oder Zwischenentscheid im Sinne von Art. 93 des Bundesgerichtsgesetzes vom 17. Juni 2005 (BGG). Er ist daher vor Bundesgericht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