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VB.2009.00278 vom 4. Mai 2009</w:t>
      </w:r>
    </w:p>
    <w:p>
      <w:r>
        <w:t>ZH Verwaltungsgericht, 2009-05-04, DE</w:t>
      </w:r>
    </w:p>
    <w:p>
      <w:r>
        <w:rPr>
          <w:b/>
        </w:rPr>
        <w:t xml:space="preserve">Quelle: </w:t>
      </w:r>
      <w:r>
        <w:t>https://mcp.opencaselaw.ch/entscheid/zh_verwaltungsgericht__VB.2009.00278</w:t>
      </w:r>
    </w:p>
    <w:p>
      <w:r>
        <w:t>FR: ZH_VERWALTUNGSGERICHT VB.2009.00278 du 4 mai 2009</w:t>
      </w:r>
    </w:p>
    <w:p>
      <w:r>
        <w:t>IT: ZH_VERWALTUNGSGERICHT VB.2009.00278 del 4 maggio 2009</w:t>
      </w:r>
    </w:p>
    <w:p>
      <w:pPr>
        <w:pStyle w:val="Heading2"/>
      </w:pPr>
      <w:r>
        <w:t>Regeste</w:t>
      </w:r>
    </w:p>
    <w:p>
      <w:r>
        <w:t>Niederlassungsbewilligung (Kantonswechsel) | Anspruch auf Kantonswechsel von Personen mit einer Niederlassungsbewilligung Für türkische Staatsangehörige mit Niederlassungsbewilligung besteht grundsätzlich ein Anspruch auf Kantonswechsel kraft Staatsvertrags (E. 2.1). Der Kantonswechsel kann nur verweigert werden, wenn Widerrufsgründe nach Art. 63 AuG vorliegen. In Betracht fällt vorliegend einzig der Widerrufsgrund der Sozialhilfeabhängigkeit. Die Auslegung der Beschwerdegegnerin, die Anforderungen an die Dauer und das Ausmass der Sozialhilfe tiefer als beim Widerruf der Niederlassungsbewilligung anzusetzen, weil es sich beim vorliegenden Entscheid nicht um die Wegweisung aus der Schweiz, sondern nur um die Verweigerung des Kantonswechsels handle, findet keine Grundlage im Gesetz und ist abzulehnen (E. 2.2). Zum jetzigen Zeitpunkt liegt kein Widerrufsgrund vor, weshalb nicht mehr zu prüfen ist, ob ein solcher Widerruf verhältnismässig wäre (E. 2.4). Gegen den vorliegenden Entscheid ist lediglich die subsidiäre Verfassungsbeschwerde gegeben (E. 4). Gutheissung.</w:t>
      </w:r>
    </w:p>
    <w:p>
      <w:pPr>
        <w:pStyle w:val="Heading2"/>
      </w:pPr>
      <w:r>
        <w:t>Erwägungen</w:t>
      </w:r>
    </w:p>
    <w:p>
      <w:r>
        <w:rPr>
          <w:b/>
        </w:rPr>
        <w:t>E. 4</w:t>
      </w:r>
    </w:p>
    <w:p>
      <w:r>
        <w:t>Gemäss Art. 83 lit. c Ziff. 6 des Bundesgerichtsgesetzes vom 17. Juni 2005 (BGG, SR 173.110), welcher seit dem 1. Januar 2008 zur Anwendung kommt (AS 2006, 5600 und 5608; AS 2007, 5489), ist die Beschwerde in öffentlich-rechtlichen Angelegenheiten unzulässig auf dem Gebiet des Ausländerrechts betreffend den Kantonswechsel. Dies gilt auch dann, wenn sich die ausländische Person auf einen solchen Anspruch berufen kann (BGr, 4. Mai 2009, 2C_886/2008, E. 2, www.bger.ch, mit Hinweisen). Damit ist gegen den vorliegenden Entscheid lediglich die subsidiäre Verfassungsbeschwerde nach Art. 113 ff. BGG gegeben.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