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VB.2009.00271 vom 21. Oktober 2009</w:t>
      </w:r>
    </w:p>
    <w:p>
      <w:r>
        <w:t>ZH Verwaltungsgericht, 2009-10-21, DE</w:t>
      </w:r>
    </w:p>
    <w:p>
      <w:r>
        <w:rPr>
          <w:b/>
        </w:rPr>
        <w:t xml:space="preserve">Quelle: </w:t>
      </w:r>
      <w:r>
        <w:t>https://mcp.opencaselaw.ch/entscheid/zh_verwaltungsgericht__VB.2009.00271</w:t>
      </w:r>
    </w:p>
    <w:p>
      <w:r>
        <w:t>FR: ZH_VERWALTUNGSGERICHT VB.2009.00271 du 21 octobre 2009</w:t>
      </w:r>
    </w:p>
    <w:p>
      <w:r>
        <w:t>IT: ZH_VERWALTUNGSGERICHT VB.2009.00271 del 21 ottobre 2009</w:t>
      </w:r>
    </w:p>
    <w:p>
      <w:pPr>
        <w:pStyle w:val="Heading2"/>
      </w:pPr>
      <w:r>
        <w:t>Regeste</w:t>
      </w:r>
    </w:p>
    <w:p>
      <w:r>
        <w:t>Jagdpachtvergabe | Ermessen der Gemeinde bei der Jagdpachtvergabe Der Zuschlag der Jagdpacht unterliegt den Rechtsmitteln der Verwaltungsrechtspflege (E. 1.2). Die Rechtsmittelbefugnis steht der im vorinstanzlichen Verfahren unterlegenen Beschwerdeführerin ohne weiteres zu. Sie hat von der Gemeinde den Zuschlag für das Jagdrevier erhalten und ist damit vom Beschluss des Bezirksrats unmittelbar betroffen. Die Beschwerdelegitimation stünde im Übrigen auch erfolglosen Mitbewerbenden um eine Jagdpacht zu (E. 1.3). Der Zuschlag erfolgt an denjenigen Bewerber, welcher nach dem Ermessen der Gemeinde die beste Gewähr für einen weidgerechten Jagdbetrieb bietet (E. 2.2). Der Gesetzgeber hat die Stellung Ortsansässiger und der bisherigen Jagdgesellschaft besonders hervorgehoben. Sie können jedoch nur privilegiert werden, wenn sie für einen weidgerechten Jagdbetrieb Gewähr bieten (E. 2.3). Die Überlegungen der Gemeinde zum Zuschlag an die neue Jagdgesellschaft sind sachlich begründet und orientieren sich daran, welche der beiden Jagdgesellschaften für einen weidgerechten Jagdbetrieb für die gesamte Dauer der Pacht am besten Gewähr bietet. Wenn es darum geht, die Anforderungen festzulegen, die ein Revier an dessen Bejagung stellt, spielen auch örtliche Verhältnisse eine Rolle. In diesem Zusammenhang kommt der Gemeinde ein Beurteilungsspielraum zu, bei dessen Überprüfung sich nicht nur das Verwaltungsgericht, sondern auch der Bezirksrat Zurückhaltung aufzuerlegen hat. Dies verkennt die Vorinstanz (E. 3.5). Es bestand für den Bezirksrat kein Anlass, den Zuschlag der Gemeinde aufzuheben. Er hat damit eine Ermessensverletzung begangen (E. 3.7). Gutheissung.</w:t>
      </w:r>
    </w:p>
    <w:p>
      <w:pPr>
        <w:pStyle w:val="Heading2"/>
      </w:pPr>
      <w:r>
        <w:t>Erwägungen</w:t>
      </w:r>
    </w:p>
    <w:p>
      <w:r>
        <w:rPr>
          <w:b/>
        </w:rPr>
        <w:t>E. 4</w:t>
      </w:r>
    </w:p>
    <w:p>
      <w:r>
        <w:t>Entsprechend dem Verfahrensausgang sind die Kosten den Gesellschaftern der Beschwerdegegnerin anteilsmässig aufzuerlegen. Aufgrund der zwischen ihnen bestehenden einfachen Gesellschaft haftet jeder Einzelne zudem solidarisch für die Anteile der andern (§ 70 in Verbindung mit § 13 Abs. 2 Satz 1 bzw. § 14 VRG; Kölz/Bosshart/Röhl, § 14 N. 3). Sie sind ausserdem zur Leistung einer Parteientschädigung zu verpflichten (§ 17 Abs. 2 lit. a VRG). Da bislang keine Kostennote einging, ist die Entschädigung nach pflichtgemässem Ermessen festzusetzen.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