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VB.2009.00137 vom 8. April 2009</w:t>
      </w:r>
    </w:p>
    <w:p>
      <w:r>
        <w:t>ZH Verwaltungsgericht, 2009-04-08, DE</w:t>
      </w:r>
    </w:p>
    <w:p>
      <w:r>
        <w:rPr>
          <w:b/>
        </w:rPr>
        <w:t xml:space="preserve">Quelle: </w:t>
      </w:r>
      <w:r>
        <w:t>https://mcp.opencaselaw.ch/entscheid/zh_verwaltungsgericht__VB.2009.00137</w:t>
      </w:r>
    </w:p>
    <w:p>
      <w:r>
        <w:t>FR: ZH_VERWALTUNGSGERICHT VB.2009.00137 du 8 avril 2009</w:t>
      </w:r>
    </w:p>
    <w:p>
      <w:r>
        <w:t>IT: ZH_VERWALTUNGSGERICHT VB.2009.00137 del 8 aprile 2009</w:t>
      </w:r>
    </w:p>
    <w:p>
      <w:pPr>
        <w:pStyle w:val="Heading2"/>
      </w:pPr>
      <w:r>
        <w:t>Regeste</w:t>
      </w:r>
    </w:p>
    <w:p>
      <w:r>
        <w:t>Baubewilligung | Legitimation zur Verbandsbeschwerde im Sinne von Art. 12 NHG. Die Liste im Anhang der Verordnung des Bundesrats über die Bezeichnung der im Bereich des Umweltschutzes sowie des Natur- und Heimatschutzes beschwerdeberechtigten Organisationen ist abschliessend. Auf Beschwerden von dort nicht verzeichneten Organisationen ist ohne Weiteres nicht einzutreten. Eine akzessorische Überprüfung des Verzeichnisses ist erst möglich, wenn der Bundesrat über ein allfälliges Gesuch der Beschwerdeführerin über die Aufnahme in das Verzeichnis entschieden hat, ansonsten dem Entscheid des Bundesrats vorgegriffen würde (E.2.2.1). Im Übrigen erstreckt sich die Rechtsmittelbefugnis gemäss Art. 12 Abs. 2 NHG nur auf solche Rügen, die im Interesse des Natur- und Heimatschutzes liegen und nicht auf irgendwelche anderen öffentlichen Interessen. Die von der Beschwerdeführerin verfochtenen energetischen Verbesserungen des Bauvorhabens gehören nicht zu den durch das Natur- und Heimatschutzgesetz geschützten Interessen (E. 2.4). Abweisung.</w:t>
      </w:r>
    </w:p>
    <w:p>
      <w:pPr>
        <w:pStyle w:val="Heading2"/>
      </w:pPr>
      <w:r>
        <w:t>Erwägungen</w:t>
      </w:r>
    </w:p>
    <w:p>
      <w:r>
        <w:rPr>
          <w:b/>
        </w:rPr>
        <w:t>E. 1</w:t>
      </w:r>
    </w:p>
    <w:p>
      <w:r>
        <w:t>Abteilung/1. Kammer Weiterzug: Dieser Entscheid ist rechtskräftig. Rechtsgebiet: Raumplanungs-, Bau- und Umweltrecht Betreff: Baubewilligung Legitimation zur Verbandsbeschwerde im Sinne von Art. 12 NHG. Die Liste im Anhang der Verordnung des Bundesrats über die Bezeichnung der im Bereich des Umweltschutzes sowie des Natur- und Heimatschutzes beschwerdeberechtigten Organisationen ist abschliessend. Auf Beschwerden von dort nicht verzeichneten Organisationen ist ohne Weiteres nicht einzutreten. Eine akzessorische Überprüfung des Verzeichnisses ist erst möglich, wenn der Bundesrat über ein allfälliges Gesuch der Beschwerdeführerin über die Aufnahme in das Verzeichnis entschieden hat, ansonsten dem Entscheid des Bundesrats vorgegriffen würde (E.2.2.1). Im Übrigen erstreckt sich die Rechtsmittelbefugnis gemäss Art. 12 Abs. 2 NHG nur auf solche Rügen, die im Interesse des Natur- und Heimatschutzes liegen und nicht auf irgendwelche anderen öffentlichen Interessen. Die von der Beschwerdeführerin verfochtenen energetischen Verbesserungen des Bauvorhabens gehören nicht zu den durch das Natur- und Heimatschutzgesetz geschützten Interessen (E. 2.4). Abweisung. Stichworte: AKZESSORISCHE PRÜFUNG BAUBEWILLIGUNG UND BAUBEWILLIGUNGSVERFAHREN BESCHWERDEBEFUGNIS LEGITIMATION NATUR- UND HEIMATSCHUTZ VERBANDSBESCHWERDE VERBANDSBESCHWERDERECHT Rechtsnormen: Art. 12 NHG § 338a Abs. II PBG Publikationen: - keine - Gewichtung: (1 von hoher / 5 von geringer Bedeutung) Gewichtung: 3 Verwaltungsgericht des Kantons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