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VB.2009.00107 vom 6. Mai 2009</w:t>
      </w:r>
    </w:p>
    <w:p>
      <w:r>
        <w:t>ZH Verwaltungsgericht, 2009-05-06, DE</w:t>
      </w:r>
    </w:p>
    <w:p>
      <w:r>
        <w:rPr>
          <w:b/>
        </w:rPr>
        <w:t xml:space="preserve">Quelle: </w:t>
      </w:r>
      <w:r>
        <w:t>https://mcp.opencaselaw.ch/entscheid/zh_verwaltungsgericht__VB.2009.00107</w:t>
      </w:r>
    </w:p>
    <w:p>
      <w:r>
        <w:t>FR: ZH_VERWALTUNGSGERICHT VB.2009.00107 du 6 mai 2009</w:t>
      </w:r>
    </w:p>
    <w:p>
      <w:r>
        <w:t>IT: ZH_VERWALTUNGSGERICHT VB.2009.00107 del 6 maggio 2009</w:t>
      </w:r>
    </w:p>
    <w:p>
      <w:pPr>
        <w:pStyle w:val="Heading2"/>
      </w:pPr>
      <w:r>
        <w:t>Regeste</w:t>
      </w:r>
    </w:p>
    <w:p>
      <w:r>
        <w:t>Baubewilligung | Arealüberbauung in Uetikon am See: Rechtsmittellegitimation des Nachbarn; vorinstanzliche Kostenfestsetzung. Aufgrund der örtlichen Verhältnisse liegt eine besondere Betroffenheit des Beschwerdeführers durch das geplante Bauvorhaben nicht auf der Hand. Insbesondere vermag allein das Vorhandensein einer Sichtverbindung zum Baugrundstück die erforderliche nahe Raumbeziehung nicht zu begründen (E. 2.3). Auch eine Betroffenheit durch den vom Bauvorhaben ausgelösten Mehrverkehr ist angesichts der Erschliessungsverhältnisse nicht ersichtlich. Vielmehr ist davon auszugehen, dass Zu- und Wegfahrten zur geplanten Arealüberbauung in aller Regel über das gut ausgebaute östliche Strassenstück erfolgen, während die ausgesprochen unattraktive Zufahrtsmöglichkeit von Westen her bei der Liegenschaft des Beschwerdeführers eher selten benützt wird. Dass diese gelegentliche Benützung der westlichen Zufahrt zu einem objektiv als Nachteil erscheinenden Mehrverkehr führt, kann mit an Sicherheit grenzender Wahrscheinlichkeit ausgeschlossen werden (E. 2.3) Indem die Rekurskommission zu Unrecht auf die Rekurse eingetreten ist, hat sie einen unnötig grossen Aufwand betrieben. Insofern erweist sich der Einwand der Unangemessenheit der vorinstanzlichen Kostenfestsetzung als begründet. Die Spruchgebühr ist entsprechend herabzusetzen (E. 3.2.2). Teilweise Gutheissung.</w:t>
      </w:r>
    </w:p>
    <w:p>
      <w:pPr>
        <w:pStyle w:val="Heading2"/>
      </w:pPr>
      <w:r>
        <w:t>Erwägungen</w:t>
      </w:r>
    </w:p>
    <w:p>
      <w:r>
        <w:rPr>
          <w:b/>
        </w:rPr>
        <w:t>E. 4</w:t>
      </w:r>
    </w:p>
    <w:p>
      <w:r>
        <w:t>Angesichts seines nur geringfügigen Obsiegens bezüglich der Spruchgebühr im Rekursverfahren sind die Kosten des Beschwerdeverfahrens vollumfänglich dem Beschwerdeführer aufzuerlegen (§ 13 Abs. 2 VRG). Überdies ist er zu einer Parteientschädigung von Fr. 1'000.- an die private Beschwerdegegnerin zu verpflichten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