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VB.2009.00045 vom 12. Februar 2008</w:t>
      </w:r>
    </w:p>
    <w:p>
      <w:r>
        <w:t>ZH Verwaltungsgericht, 2008-02-12, DE</w:t>
      </w:r>
    </w:p>
    <w:p>
      <w:r>
        <w:rPr>
          <w:b/>
        </w:rPr>
        <w:t xml:space="preserve">Quelle: </w:t>
      </w:r>
      <w:r>
        <w:t>https://mcp.opencaselaw.ch/entscheid/zh_verwaltungsgericht__VB.2009.00045</w:t>
      </w:r>
    </w:p>
    <w:p>
      <w:r>
        <w:t>FR: ZH_VERWALTUNGSGERICHT VB.2009.00045 du 12 février 2008</w:t>
      </w:r>
    </w:p>
    <w:p>
      <w:r>
        <w:t>IT: ZH_VERWALTUNGSGERICHT VB.2009.00045 del 12 febbraio 2008</w:t>
      </w:r>
    </w:p>
    <w:p>
      <w:pPr>
        <w:pStyle w:val="Heading2"/>
      </w:pPr>
      <w:r>
        <w:t>Regeste</w:t>
      </w:r>
    </w:p>
    <w:p>
      <w:r>
        <w:t>Aufenthaltsbewilligung | Zur ausländerrechtlichen (Un-)Zuständigkeit des Verwaltungsgerichts ausserhalb des Bereichs von Anwesenheitsansprüchen Die kosovarische Beschwerdeführerin heiratete in der Heimat Ende 2004 einen später im Kanton Zürich niedergelassenen Landsmann, reiste im August 2005 in die Schweiz ein und bekam eine einmal verlängerte Aufenthaltsbewilligung. Die Trennung vom Ehemann war Mitte August 2007 erfolgt, die Scheidung im Mai 2008. Das Verwaltungsgericht ist hier ausserhalb des Anspruchsbereichs unzuständig: Der angefochtene Beschluss wurde zwar erst im Jahr 2009 zugestellt, aber - und hierauf kommt es an - noch im Jahr 2008 gefällt; damals griff die eidgenössische Rechtsweggarantie nicht bereits (E. 2.2). Wegen fehlender sachlicher Zuständigkeit des Verwaltungsgerichts ist das Rechtsmittel nicht an die Hand zu nehmen (E. 2.3). Die Übermittlung der Beschwerde an das Bundesgericht zur Prüfung als subsidiäre Verfassungsbeschwerde erscheint nicht als angezeigt (E. 2.4). Verweigerung der unentgeltlichen Rechtspflege sowohl mangels Substanziierung der Mittellosigkeit als auch wegen Aussichtslosigkeit des Rechtsmittels (E. 3). Nichteintreten.</w:t>
      </w:r>
    </w:p>
    <w:p>
      <w:pPr>
        <w:pStyle w:val="Heading2"/>
      </w:pPr>
      <w:r>
        <w:t>Erwägungen</w:t>
      </w:r>
    </w:p>
    <w:p>
      <w:r>
        <w:rPr>
          <w:b/>
        </w:rPr>
        <w:t>E. 4</w:t>
      </w:r>
    </w:p>
    <w:p>
      <w:r>
        <w:t>Zur Rechtsmittelbelehrung des nachstehenden Dispositivs ist Folgendes zu erläutern: Soweit ein Anwesenheitsanspruch der Beschwerdeführerin geltend gemacht werden will, lässt sich Beschwerde in öffentlich-rechtlichen Angelegenheiten nach Art. 82 ff. BGG erheben (vgl. BGr, 18. Juni 2007, 2D_3/2007 bzw. 2C_126/2007, E. 2.2, www.bger.ch; ferner bezüglich der Rüge, der vorangegangene kantonale Sachentscheid habe Verfahrensgarantien missachtet, BGr, 12. Februar 2008, 2D_23/2008, E. 2.4.2, mit Zitat, www.bger.ch). Sonst bleibt lediglich die subsidiäre Verfassungsbeschwerde gemäss Art. 113 ff. BGG offen (siehe zu ihrer hier besonders beschränkten Reichweite Thomas Häberli, Basler Kommentar, 2008, Art. 83 BGG N. 61). Das Ergreifen beider Rechtsmittel hätte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