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VB.2008.00587 vom 18. März 2009</w:t>
      </w:r>
    </w:p>
    <w:p>
      <w:r>
        <w:t>ZH Verwaltungsgericht, 2009-03-18, DE</w:t>
      </w:r>
    </w:p>
    <w:p>
      <w:r>
        <w:rPr>
          <w:b/>
        </w:rPr>
        <w:t xml:space="preserve">Quelle: </w:t>
      </w:r>
      <w:r>
        <w:t>https://mcp.opencaselaw.ch/entscheid/zh_verwaltungsgericht__VB.2008.00587</w:t>
      </w:r>
    </w:p>
    <w:p>
      <w:r>
        <w:t>FR: ZH_VERWALTUNGSGERICHT VB.2008.00587 du 18 mars 2009</w:t>
      </w:r>
    </w:p>
    <w:p>
      <w:r>
        <w:t>IT: ZH_VERWALTUNGSGERICHT VB.2008.00587 del 18 marzo 2009</w:t>
      </w:r>
    </w:p>
    <w:p>
      <w:pPr>
        <w:pStyle w:val="Heading2"/>
      </w:pPr>
      <w:r>
        <w:t>Regeste</w:t>
      </w:r>
    </w:p>
    <w:p>
      <w:r>
        <w:t>Aufenthaltsbewilligung | Aufenthaltsbewilligung (Rechtsmissbrauch, Scheinehe) Zuständigkeit (E. 1.1). Anwendbares Recht (E. 1.3). Der Beschwerdeführer, ein mit einer 22 Jahre älteren Schweizerin (Beschwerdeführerin) verheirateter Staatsangehöriger der Türkei, kann sich grundsätzlich auf Aufenthaltsansprüche gemäss Art. 7 Abs. 1 ANAG und Art. 8 Abs. 1 EMRK bzw. Art. 13 Abs. 1 BV berufen (E. 1.3.1 f.). Merkmale der rechtsmissbräuchlichen Berufung auf eine nur formell bestehende Ehe (E. 2.1). Dass eine Scheinehe vorliegt, kann oft nur durch Indizien erstellt werden. Erforderlich sind klare und konkrete Hinweise darauf, dass die Führung einer Lebensgemeinschaft nicht beabsichtigt ist. Darauf darf - bei entsprechender Indizienlage - auch geschlossen werden, wenn der ausländische Ehegatte noch gar keine Gelegenheit erhalten hat, die Absicht der Begründung einer Lebensgemeinschaft durch Zusammenleben mit der Schweizer Ehegattin unter Beweis zu stellen (E. 2.2). Mehrere Indizien, welche für sich allein noch nicht den Schluss auf das Vorliegen einer bestimmten Tatsache erlauben, können in ihrer Gesamtheit die erforderliche Überzeugung vermitteln (E. 2.3). Vorliegend lassen zahlreiche Indizien den Schluss zu, die Beschwerdeführenden hätten keine wirkliche Lebensgemeinschaft begründen wollen: Grosser Altersunterschied, dritte Ehe der Gattin mit einem wesentlich jüngeren Ausländer, beharrliche Bemühungen des Beschwerdeführers, ein Aufenthaltsrecht in einem westeuropäischen Land zu erlangen, vierjähriger Kontaktunterbruch nach Kennenlernen, Heiratsentschluss nur eine Woche nach der erneuten Kontaktaufnahme, widersprüchliche Angaben zu dem Umständen des Kennenlernens und des Heiratsentschlusses, wenig ausführliche Angaben des Beschwerdeführers, ungenaue bzw. falsche Angaben über Personalien der Ehefrau (E. 3). Daher kann sich der Anspruch auf Erteilung einer Aufenthaltsbewilligung für den Beschwerdeführer nicht verwirklichen (E. 4). Kosten- und Entschädigungsfolgen (E. 5). Abweisung.</w:t>
      </w:r>
    </w:p>
    <w:p>
      <w:pPr>
        <w:pStyle w:val="Heading2"/>
      </w:pPr>
      <w:r>
        <w:t>Erwägungen</w:t>
      </w:r>
    </w:p>
    <w:p>
      <w:r>
        <w:rPr>
          <w:b/>
        </w:rPr>
        <w:t>E. 4</w:t>
      </w:r>
    </w:p>
    <w:p>
      <w:r>
        <w:t>Dieses Beweisergebnis lässt im Einklang mit dem vorne unter 2 Gesagten auf das Vorliegen einer Scheinehe zwischen den Beschwerdeführenden schliessen. Demnach kann sich der Anspruch des Beschwerdeführers 2 auf Erteilung einer Aufenthaltsbewilligung nicht verwirklichen. Die Beschwerde ist daher abzuweisen, soweit auf sie einzutreten ist.</w:t>
      </w:r>
    </w:p>
    <w:p>
      <w:r>
        <w:rPr>
          <w:b/>
        </w:rPr>
        <w:t>E. 5</w:t>
      </w:r>
    </w:p>
    <w:p>
      <w:r>
        <w:t>Ausgangsgemäss werden die Beschwerdeführenden je zur Hälfte kostenpflichtig, wobei sie füreinander solidarisch haften müssen, und können sie keine Parteientschädigung erhalten (§ 70 in Verbindung mit § 13 Abs. 2 Satz 1 und § 14 sowie § 17 Abs. 2 VRG; Alfred Kölz/Jürg Bosshart/Martin Röhl, Kommentar zum Verwaltungsrechtspflegegesetz des Kantons Zürich, 2. A., Zürich 1999, § 14 N. 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